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B9B2E">
      <w:pPr>
        <w:widowControl/>
        <w:spacing w:line="620" w:lineRule="exact"/>
        <w:ind w:firstLine="883" w:firstLineChars="200"/>
        <w:jc w:val="center"/>
        <w:rPr>
          <w:rFonts w:ascii="宋体" w:hAnsi="宋体" w:eastAsia="宋体" w:cs="宋体"/>
          <w:b/>
          <w:kern w:val="0"/>
          <w:sz w:val="44"/>
          <w:szCs w:val="44"/>
        </w:rPr>
      </w:pPr>
      <w:bookmarkStart w:id="0" w:name="_GoBack"/>
      <w:bookmarkEnd w:id="0"/>
      <w:r>
        <w:rPr>
          <w:rFonts w:ascii="宋体" w:hAnsi="宋体" w:eastAsia="宋体" w:cs="宋体"/>
          <w:b/>
          <w:kern w:val="0"/>
          <w:sz w:val="44"/>
          <w:szCs w:val="44"/>
        </w:rPr>
        <w:t>不当牟利细则</w:t>
      </w:r>
    </w:p>
    <w:p w14:paraId="6FA15CFB">
      <w:pPr>
        <w:spacing w:line="620" w:lineRule="exact"/>
        <w:ind w:firstLine="420" w:firstLineChars="200"/>
      </w:pPr>
    </w:p>
    <w:p w14:paraId="04CEE621">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 xml:space="preserve">一、 什么是不当牟利？ </w:t>
      </w:r>
    </w:p>
    <w:p w14:paraId="49B5E99A">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不正当牟利，是指商家通过其关联主体，有组织地规避平台规则、协议或法律法规，试图或已经取得不合法利益，侵害消费者或平台利益，对平台造成不良影响的行为。</w:t>
      </w:r>
    </w:p>
    <w:p w14:paraId="5C41D646">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二、不当牟利有哪些违规情形？</w:t>
      </w:r>
    </w:p>
    <w:p w14:paraId="025140E8">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（一）</w:t>
      </w:r>
      <w:r>
        <w:rPr>
          <w:rFonts w:ascii="楷体" w:hAnsi="楷体" w:eastAsia="楷体" w:cs="宋体"/>
          <w:kern w:val="0"/>
          <w:sz w:val="32"/>
          <w:szCs w:val="32"/>
        </w:rPr>
        <w:t>商家通过行贿的手段获得流量/资源位/活动位等利益，包括不限于以下：</w:t>
      </w:r>
    </w:p>
    <w:p w14:paraId="19507A77">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1.向邮乐网工作人员及/或其关联方提供财物、消费、款待或商业机会等；</w:t>
      </w:r>
    </w:p>
    <w:p w14:paraId="5EF27BEB">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2.商家的股东、董事、监事、高管及工作人员为邮乐网工作人员或者邮乐网工作人员的关联人士且该邮乐网工作人员未向邮乐网如实提前申报或备案的，并且利用邮乐工作人员职务便利条件的牟利行为的；</w:t>
      </w:r>
    </w:p>
    <w:p w14:paraId="40863AB4">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3.实施不正当牟利行为的商家有如实主动申报或如实积极举报情形的，邮乐可以酌情从轻或减轻处理。</w:t>
      </w:r>
    </w:p>
    <w:p w14:paraId="2EA63884">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（二）</w:t>
      </w:r>
      <w:r>
        <w:rPr>
          <w:rFonts w:ascii="楷体" w:hAnsi="楷体" w:eastAsia="楷体" w:cs="宋体"/>
          <w:kern w:val="0"/>
          <w:sz w:val="32"/>
          <w:szCs w:val="32"/>
        </w:rPr>
        <w:t>以套取平台补贴为目的且不符合价格管理规则恶意新建商品、改价、变更商品属性、叠加补贴。</w:t>
      </w:r>
    </w:p>
    <w:p w14:paraId="6E82CE19">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（三）</w:t>
      </w:r>
      <w:r>
        <w:rPr>
          <w:rFonts w:ascii="楷体" w:hAnsi="楷体" w:eastAsia="楷体" w:cs="宋体"/>
          <w:kern w:val="0"/>
          <w:sz w:val="32"/>
          <w:szCs w:val="32"/>
        </w:rPr>
        <w:t>实施诈骗，骗取消费者钱财，包括不限于以下：</w:t>
      </w:r>
    </w:p>
    <w:p w14:paraId="13CB2877">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1.刷单兼职，商家通过邮乐网途径发布以“零投入、高回报、日清日结”为噱头的刷单兼职信息，通过头几次刷单后立即返还本金、佣金骗取事主信任后，诱导其加大本金投入，随后以打包任务未完成等理由拒不返款的行为。</w:t>
      </w:r>
    </w:p>
    <w:p w14:paraId="357866DA">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2.以不确定性方式派发商品涉嫌赌博的，如销售盲盒商品；</w:t>
      </w:r>
    </w:p>
    <w:p w14:paraId="35B0C96C">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3.诱导消费者线下交易，拒不发货或者骗取信息实施诈骗等行为；</w:t>
      </w:r>
    </w:p>
    <w:p w14:paraId="4063E08E">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4.商家发送钓鱼链接或病毒信息用于骗取他人财物的；</w:t>
      </w:r>
    </w:p>
    <w:p w14:paraId="7D10A9F6">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5.其他骗钱行为。</w:t>
      </w:r>
    </w:p>
    <w:p w14:paraId="57800A7D">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（四）</w:t>
      </w:r>
      <w:r>
        <w:rPr>
          <w:rFonts w:ascii="楷体" w:hAnsi="楷体" w:eastAsia="楷体" w:cs="宋体"/>
          <w:kern w:val="0"/>
          <w:sz w:val="32"/>
          <w:szCs w:val="32"/>
        </w:rPr>
        <w:t>其他不当牟利行为。</w:t>
      </w:r>
    </w:p>
    <w:p w14:paraId="549386D7">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三、关联</w:t>
      </w:r>
      <w:r>
        <w:rPr>
          <w:rFonts w:hint="eastAsia" w:ascii="黑体" w:hAnsi="黑体" w:eastAsia="黑体" w:cs="宋体"/>
          <w:b/>
          <w:bCs/>
          <w:kern w:val="0"/>
          <w:sz w:val="32"/>
          <w:szCs w:val="32"/>
          <w:lang w:val="en-US" w:eastAsia="zh-CN"/>
        </w:rPr>
        <w:t>商家</w:t>
      </w:r>
      <w:r>
        <w:rPr>
          <w:rFonts w:ascii="黑体" w:hAnsi="黑体" w:eastAsia="黑体" w:cs="宋体"/>
          <w:b/>
          <w:bCs/>
          <w:kern w:val="0"/>
          <w:sz w:val="32"/>
          <w:szCs w:val="32"/>
        </w:rPr>
        <w:t>的关联形式包括哪些？</w:t>
      </w:r>
    </w:p>
    <w:p w14:paraId="54C48626">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关联主体</w:t>
      </w:r>
      <w:r>
        <w:rPr>
          <w:rFonts w:ascii="仿宋" w:hAnsi="仿宋" w:eastAsia="仿宋" w:cs="宋体"/>
          <w:kern w:val="0"/>
          <w:sz w:val="32"/>
          <w:szCs w:val="32"/>
        </w:rPr>
        <w:t>是指与商家存在关联关系的主体，包括但不限于：</w:t>
      </w:r>
    </w:p>
    <w:p w14:paraId="342048A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同一经营主体经营的</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，不同经营主体但存在同一法定代表人、经营者、控股股东、实际控制人经营（包括但不限于通过技术手段判定）的</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等。</w:t>
      </w:r>
    </w:p>
    <w:p w14:paraId="56AE62A8">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关联形式包括但不限于下述情形：</w:t>
      </w:r>
    </w:p>
    <w:p w14:paraId="184CC9DF">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lang w:val="en-US" w:eastAsia="zh-CN"/>
        </w:rPr>
        <w:t>商家</w:t>
      </w:r>
      <w:r>
        <w:rPr>
          <w:rFonts w:ascii="仿宋" w:hAnsi="仿宋" w:eastAsia="仿宋" w:cs="宋体"/>
          <w:kern w:val="0"/>
          <w:sz w:val="32"/>
          <w:szCs w:val="32"/>
        </w:rPr>
        <w:t xml:space="preserve">使用的注册信息相同：如身份证、营业执照、公司注册地址、联系电话、邮箱账户、支付/收款账号、售后地址、售后联系人等信息。 </w:t>
      </w:r>
    </w:p>
    <w:p w14:paraId="36094CF9">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 xml:space="preserve">四、平台如何识别“不当牟利”？ </w:t>
      </w:r>
    </w:p>
    <w:p w14:paraId="1312FA6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平台根据数据排查、投诉、举报等各种渠道及基于各种潜在风险，对商家及关联主体的商品、交易、服务进行多纬度、全方位地综合风险排查，判定商家是否有“不当牟利”的行为。</w:t>
      </w:r>
    </w:p>
    <w:p w14:paraId="35589261">
      <w:pPr>
        <w:spacing w:line="620" w:lineRule="exact"/>
        <w:ind w:firstLine="640" w:firstLineChars="200"/>
        <w:rPr>
          <w:rFonts w:ascii="仿宋" w:hAnsi="仿宋" w:eastAsia="仿宋"/>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8678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A4E9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1A4E9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0517D">
    <w:pPr>
      <w:pStyle w:val="4"/>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E549A6"/>
    <w:multiLevelType w:val="multilevel"/>
    <w:tmpl w:val="39E549A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1E08BA"/>
    <w:rsid w:val="0018072F"/>
    <w:rsid w:val="001E08BA"/>
    <w:rsid w:val="00765788"/>
    <w:rsid w:val="00DA50DD"/>
    <w:rsid w:val="00EC744C"/>
    <w:rsid w:val="0F607D2E"/>
    <w:rsid w:val="288E6BA5"/>
    <w:rsid w:val="585E7A6B"/>
    <w:rsid w:val="79AC5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2 字符"/>
    <w:basedOn w:val="7"/>
    <w:link w:val="2"/>
    <w:qFormat/>
    <w:uiPriority w:val="9"/>
    <w:rPr>
      <w:rFonts w:ascii="宋体" w:hAnsi="宋体" w:eastAsia="宋体" w:cs="宋体"/>
      <w:b/>
      <w:bCs/>
      <w:kern w:val="0"/>
      <w:sz w:val="36"/>
      <w:szCs w:val="36"/>
    </w:rPr>
  </w:style>
  <w:style w:type="character" w:customStyle="1" w:styleId="10">
    <w:name w:val="color_font"/>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865</Words>
  <Characters>873</Characters>
  <Lines>6</Lines>
  <Paragraphs>1</Paragraphs>
  <TotalTime>2</TotalTime>
  <ScaleCrop>false</ScaleCrop>
  <LinksUpToDate>false</LinksUpToDate>
  <CharactersWithSpaces>877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2023-06-05T07:33:00Z</dcterms:created>
  <dc:creator>xiaoyanhong</dc:creator>
  <cp:lastModifiedBy>杨金柱</cp:lastModifiedBy>
  <dcterms:modified xsi:type="dcterms:W3CDTF">2025-11-26T07:55:46Z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7B9E8A41A2324302B85D1070EDEC6B8D_12</vt:lpwstr>
  </property>
  <property fmtid="{D5CDD505-2E9C-101B-9397-08002B2CF9AE}" pid="4" name="KSOTemplateDocerSaveRecord">
    <vt:lpwstr>eyJoZGlkIjoiMWQwNGI2ZTBlNDI4NmNmYTE0MzgzOGZhYjEyZTcwOTMiLCJ1c2VySWQiOiIxNDk5NjIzMzg3In0=</vt:lpwstr>
  </property>
</Properties>
</file>