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A6F90">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ind w:left="0" w:firstLine="883" w:firstLineChars="200"/>
        <w:jc w:val="center"/>
        <w:textAlignment w:val="baseline"/>
        <w:rPr>
          <w:rFonts w:hint="default" w:ascii="黑体" w:hAnsi="黑体" w:eastAsia="黑体" w:cs="黑体"/>
          <w:b/>
          <w:bCs/>
          <w:sz w:val="28"/>
          <w:szCs w:val="28"/>
          <w:lang w:val="en-US" w:eastAsia="zh-CN"/>
        </w:rPr>
      </w:pPr>
      <w:r>
        <w:rPr>
          <w:rStyle w:val="8"/>
          <w:rFonts w:hint="eastAsia" w:ascii="黑体" w:hAnsi="黑体" w:eastAsia="黑体" w:cs="黑体"/>
          <w:b/>
          <w:bCs/>
          <w:sz w:val="44"/>
          <w:szCs w:val="44"/>
          <w:lang w:val="en-US" w:eastAsia="zh-CN"/>
        </w:rPr>
        <w:t>批销商家发货管理细则</w:t>
      </w:r>
    </w:p>
    <w:p w14:paraId="6AD7808F">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jc w:val="center"/>
        <w:textAlignment w:val="baseline"/>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第一章 概述</w:t>
      </w:r>
    </w:p>
    <w:p w14:paraId="2BDB8D29">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ind w:left="0" w:firstLine="562" w:firstLineChars="200"/>
        <w:jc w:val="both"/>
        <w:textAlignment w:val="baseline"/>
        <w:rPr>
          <w:rFonts w:hint="eastAsia" w:ascii="黑体" w:hAnsi="黑体" w:eastAsia="黑体" w:cs="黑体"/>
          <w:b w:val="0"/>
          <w:bCs w:val="0"/>
          <w:sz w:val="28"/>
          <w:szCs w:val="28"/>
          <w:lang w:val="en-US" w:eastAsia="zh-CN"/>
        </w:rPr>
      </w:pPr>
      <w:r>
        <w:rPr>
          <w:rFonts w:hint="eastAsia" w:ascii="黑体" w:hAnsi="黑体" w:eastAsia="黑体" w:cs="黑体"/>
          <w:b/>
          <w:bCs/>
          <w:sz w:val="28"/>
          <w:szCs w:val="28"/>
          <w:lang w:val="en-US" w:eastAsia="zh-CN"/>
        </w:rPr>
        <w:t xml:space="preserve">第一条  </w:t>
      </w:r>
      <w:r>
        <w:rPr>
          <w:rFonts w:hint="eastAsia" w:ascii="仿宋" w:hAnsi="仿宋" w:eastAsia="仿宋" w:cs="仿宋"/>
          <w:b w:val="0"/>
          <w:bCs w:val="0"/>
          <w:sz w:val="28"/>
          <w:szCs w:val="28"/>
          <w:lang w:val="en-US" w:eastAsia="zh-CN"/>
        </w:rPr>
        <w:t>目的及依据</w:t>
      </w:r>
    </w:p>
    <w:p w14:paraId="3B90B364">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ind w:left="0" w:firstLine="560" w:firstLineChars="200"/>
        <w:jc w:val="both"/>
        <w:textAlignment w:val="baseline"/>
        <w:rPr>
          <w:rFonts w:hint="eastAsia" w:ascii="黑体" w:hAnsi="黑体" w:eastAsia="黑体" w:cs="黑体"/>
          <w:sz w:val="32"/>
          <w:szCs w:val="32"/>
        </w:rPr>
      </w:pPr>
      <w:r>
        <w:rPr>
          <w:rFonts w:hint="eastAsia" w:ascii="仿宋" w:hAnsi="仿宋" w:eastAsia="仿宋" w:cs="仿宋"/>
          <w:b w:val="0"/>
          <w:bCs/>
          <w:sz w:val="28"/>
          <w:szCs w:val="28"/>
        </w:rPr>
        <w:t>为进一步提</w:t>
      </w:r>
      <w:r>
        <w:rPr>
          <w:rFonts w:hint="eastAsia" w:ascii="仿宋" w:hAnsi="仿宋" w:eastAsia="仿宋" w:cs="仿宋"/>
          <w:b w:val="0"/>
          <w:bCs/>
          <w:sz w:val="28"/>
          <w:szCs w:val="28"/>
          <w:lang w:eastAsia="zh-CN"/>
        </w:rPr>
        <w:t>高</w:t>
      </w:r>
      <w:r>
        <w:rPr>
          <w:rFonts w:hint="eastAsia" w:ascii="仿宋" w:hAnsi="仿宋" w:eastAsia="仿宋" w:cs="仿宋"/>
          <w:b w:val="0"/>
          <w:bCs/>
          <w:sz w:val="28"/>
          <w:szCs w:val="28"/>
        </w:rPr>
        <w:t>批销订单发货时效，</w:t>
      </w:r>
      <w:r>
        <w:rPr>
          <w:rFonts w:hint="eastAsia" w:ascii="仿宋" w:hAnsi="仿宋" w:eastAsia="仿宋" w:cs="仿宋"/>
          <w:b w:val="0"/>
          <w:bCs/>
          <w:sz w:val="28"/>
          <w:szCs w:val="28"/>
          <w:lang w:eastAsia="zh-CN"/>
        </w:rPr>
        <w:t>提升用户体验，通过</w:t>
      </w:r>
      <w:r>
        <w:rPr>
          <w:rFonts w:hint="eastAsia" w:ascii="仿宋" w:hAnsi="仿宋" w:eastAsia="仿宋" w:cs="仿宋"/>
          <w:b w:val="0"/>
          <w:bCs/>
          <w:sz w:val="28"/>
          <w:szCs w:val="28"/>
        </w:rPr>
        <w:t>对标行业先进，将批销商家延迟发货、缺货及违规处罚标准进行优化，现根据</w:t>
      </w:r>
      <w:bookmarkStart w:id="0" w:name="_GoBack"/>
      <w:bookmarkEnd w:id="0"/>
      <w:r>
        <w:rPr>
          <w:rFonts w:hint="eastAsia" w:ascii="仿宋" w:hAnsi="仿宋" w:eastAsia="仿宋" w:cs="仿宋"/>
          <w:b w:val="0"/>
          <w:bCs/>
          <w:sz w:val="28"/>
          <w:szCs w:val="28"/>
        </w:rPr>
        <w:t>国家现行法律、法规、规章、平台入驻协议《邮乐服务条款》、《邮乐平台技术服务协议》等规则，特更新《批销</w:t>
      </w:r>
      <w:r>
        <w:rPr>
          <w:rFonts w:hint="eastAsia" w:ascii="仿宋" w:hAnsi="仿宋" w:eastAsia="仿宋" w:cs="仿宋"/>
          <w:b w:val="0"/>
          <w:bCs/>
          <w:sz w:val="28"/>
          <w:szCs w:val="28"/>
          <w:lang w:eastAsia="zh-CN"/>
        </w:rPr>
        <w:t>发货管理规范</w:t>
      </w:r>
      <w:r>
        <w:rPr>
          <w:rFonts w:hint="eastAsia" w:ascii="仿宋" w:hAnsi="仿宋" w:eastAsia="仿宋" w:cs="仿宋"/>
          <w:b w:val="0"/>
          <w:bCs/>
          <w:sz w:val="28"/>
          <w:szCs w:val="28"/>
        </w:rPr>
        <w:t>》</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p>
    <w:p w14:paraId="37DCD45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rPr>
          <w:rStyle w:val="8"/>
          <w:rFonts w:hint="eastAsia" w:ascii="仿宋" w:hAnsi="仿宋" w:eastAsia="仿宋" w:cs="仿宋"/>
          <w:b w:val="0"/>
          <w:bCs w:val="0"/>
          <w:sz w:val="28"/>
          <w:szCs w:val="28"/>
        </w:rPr>
      </w:pPr>
      <w:r>
        <w:rPr>
          <w:rStyle w:val="8"/>
          <w:rFonts w:hint="eastAsia" w:ascii="黑体" w:hAnsi="黑体" w:eastAsia="黑体" w:cs="黑体"/>
          <w:b/>
          <w:bCs/>
          <w:sz w:val="28"/>
          <w:szCs w:val="28"/>
          <w:lang w:eastAsia="zh-CN"/>
        </w:rPr>
        <w:t>第二条</w:t>
      </w:r>
      <w:r>
        <w:rPr>
          <w:rStyle w:val="8"/>
          <w:rFonts w:hint="eastAsia" w:ascii="仿宋" w:hAnsi="仿宋" w:eastAsia="仿宋" w:cs="仿宋"/>
          <w:b/>
          <w:bCs/>
          <w:sz w:val="28"/>
          <w:szCs w:val="28"/>
          <w:lang w:val="en-US" w:eastAsia="zh-CN"/>
        </w:rPr>
        <w:t xml:space="preserve">  </w:t>
      </w:r>
      <w:r>
        <w:rPr>
          <w:rStyle w:val="8"/>
          <w:rFonts w:hint="eastAsia" w:ascii="仿宋" w:hAnsi="仿宋" w:eastAsia="仿宋" w:cs="仿宋"/>
          <w:b w:val="0"/>
          <w:bCs w:val="0"/>
          <w:sz w:val="28"/>
          <w:szCs w:val="28"/>
        </w:rPr>
        <w:t>适用范围</w:t>
      </w:r>
    </w:p>
    <w:p w14:paraId="1A990A0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rPr>
          <w:rFonts w:hint="eastAsia" w:ascii="仿宋" w:hAnsi="仿宋" w:eastAsia="仿宋" w:cs="仿宋"/>
          <w:sz w:val="28"/>
          <w:szCs w:val="28"/>
        </w:rPr>
      </w:pPr>
      <w:r>
        <w:rPr>
          <w:rFonts w:hint="eastAsia" w:ascii="仿宋" w:hAnsi="仿宋" w:eastAsia="仿宋" w:cs="仿宋"/>
          <w:sz w:val="28"/>
          <w:szCs w:val="28"/>
        </w:rPr>
        <w:t>本规则适用于邮乐平台批销订单和批销商家。</w:t>
      </w:r>
    </w:p>
    <w:p w14:paraId="419556F8">
      <w:pPr>
        <w:keepNext w:val="0"/>
        <w:keepLines w:val="0"/>
        <w:pageBreakBefore w:val="0"/>
        <w:widowControl/>
        <w:kinsoku/>
        <w:wordWrap/>
        <w:overflowPunct/>
        <w:topLinePunct w:val="0"/>
        <w:autoSpaceDE/>
        <w:autoSpaceDN/>
        <w:bidi w:val="0"/>
        <w:adjustRightInd/>
        <w:snapToGrid/>
        <w:spacing w:beforeAutospacing="0" w:afterAutospacing="0" w:line="500" w:lineRule="exact"/>
        <w:ind w:left="0" w:firstLine="562" w:firstLineChars="200"/>
        <w:jc w:val="left"/>
        <w:textAlignment w:val="baseline"/>
        <w:rPr>
          <w:rFonts w:hint="eastAsia" w:ascii="仿宋" w:hAnsi="仿宋" w:eastAsia="仿宋" w:cs="仿宋"/>
          <w:sz w:val="28"/>
          <w:szCs w:val="28"/>
        </w:rPr>
      </w:pPr>
      <w:r>
        <w:rPr>
          <w:rFonts w:hint="eastAsia" w:ascii="黑体" w:hAnsi="黑体" w:eastAsia="黑体" w:cs="黑体"/>
          <w:b/>
          <w:bCs/>
          <w:sz w:val="28"/>
          <w:szCs w:val="28"/>
          <w:lang w:eastAsia="zh-CN"/>
        </w:rPr>
        <w:t>第三条</w:t>
      </w:r>
      <w:r>
        <w:rPr>
          <w:rFonts w:hint="eastAsia" w:ascii="方正楷体_GB2312" w:hAnsi="方正楷体_GB2312" w:eastAsia="方正楷体_GB2312" w:cs="方正楷体_GB2312"/>
          <w:b/>
          <w:bCs/>
        </w:rPr>
        <w:t xml:space="preserve"> </w:t>
      </w:r>
      <w:r>
        <w:rPr>
          <w:rFonts w:hint="eastAsia" w:ascii="方正楷体_GB2312" w:hAnsi="方正楷体_GB2312" w:eastAsia="方正楷体_GB2312" w:cs="方正楷体_GB2312"/>
          <w:b/>
          <w:bCs/>
          <w:lang w:val="en-US" w:eastAsia="zh-CN"/>
        </w:rPr>
        <w:t xml:space="preserve"> </w:t>
      </w:r>
      <w:r>
        <w:rPr>
          <w:rFonts w:hint="eastAsia" w:ascii="仿宋" w:hAnsi="仿宋" w:eastAsia="仿宋" w:cs="仿宋"/>
          <w:b w:val="0"/>
          <w:bCs w:val="0"/>
          <w:sz w:val="28"/>
          <w:szCs w:val="28"/>
        </w:rPr>
        <w:t>效力级别</w:t>
      </w:r>
    </w:p>
    <w:p w14:paraId="63E50FC4">
      <w:pPr>
        <w:keepNext w:val="0"/>
        <w:keepLines w:val="0"/>
        <w:pageBreakBefore w:val="0"/>
        <w:widowControl/>
        <w:kinsoku/>
        <w:wordWrap/>
        <w:overflowPunct/>
        <w:topLinePunct w:val="0"/>
        <w:autoSpaceDE/>
        <w:autoSpaceDN/>
        <w:bidi w:val="0"/>
        <w:adjustRightInd/>
        <w:snapToGrid/>
        <w:spacing w:beforeAutospacing="0" w:afterAutospacing="0" w:line="500" w:lineRule="exact"/>
        <w:ind w:left="0" w:firstLine="560" w:firstLineChars="200"/>
        <w:jc w:val="left"/>
        <w:textAlignment w:val="baseline"/>
        <w:rPr>
          <w:rFonts w:hint="eastAsia" w:ascii="仿宋" w:hAnsi="仿宋" w:eastAsia="仿宋" w:cs="仿宋"/>
          <w:sz w:val="28"/>
          <w:szCs w:val="28"/>
          <w:lang w:eastAsia="zh-CN"/>
        </w:rPr>
      </w:pPr>
      <w:r>
        <w:rPr>
          <w:rFonts w:hint="eastAsia" w:ascii="仿宋" w:hAnsi="仿宋" w:eastAsia="仿宋" w:cs="仿宋"/>
          <w:sz w:val="28"/>
          <w:szCs w:val="28"/>
        </w:rPr>
        <w:t>本规则是对“平台规则体系”的有效补充。商家应遵守国家法律、行政法规、部门规章以及与平台签订的各项协议。对任何涉嫌违反国家法律、行政法规、部门规章等规定的行为，本规则已有规定的，适用于本规则。本规则尚无规定的，平台有权根据相关法律及与平台签订的各项协议酌情处理</w:t>
      </w:r>
      <w:r>
        <w:rPr>
          <w:rFonts w:hint="eastAsia" w:ascii="仿宋" w:hAnsi="仿宋" w:eastAsia="仿宋" w:cs="仿宋"/>
          <w:sz w:val="28"/>
          <w:szCs w:val="28"/>
          <w:lang w:eastAsia="zh-CN"/>
        </w:rPr>
        <w:t>。</w:t>
      </w:r>
    </w:p>
    <w:p w14:paraId="0B3D96DB">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jc w:val="both"/>
        <w:textAlignment w:val="baseline"/>
        <w:rPr>
          <w:rFonts w:hint="eastAsia" w:ascii="黑体" w:hAnsi="黑体" w:eastAsia="黑体" w:cs="黑体"/>
          <w:b/>
          <w:bCs/>
          <w:sz w:val="28"/>
          <w:szCs w:val="28"/>
          <w:lang w:eastAsia="zh-CN"/>
        </w:rPr>
      </w:pPr>
    </w:p>
    <w:p w14:paraId="68179970">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jc w:val="center"/>
        <w:textAlignment w:val="baseline"/>
        <w:rPr>
          <w:rFonts w:hint="eastAsia" w:ascii="方正楷体_GB2312" w:hAnsi="方正楷体_GB2312" w:eastAsia="方正楷体_GB2312" w:cs="方正楷体_GB2312"/>
          <w:b/>
          <w:bCs/>
          <w:sz w:val="32"/>
          <w:szCs w:val="32"/>
        </w:rPr>
      </w:pPr>
      <w:r>
        <w:rPr>
          <w:rFonts w:hint="eastAsia" w:ascii="黑体" w:hAnsi="黑体" w:eastAsia="黑体" w:cs="黑体"/>
          <w:b/>
          <w:bCs/>
          <w:sz w:val="28"/>
          <w:szCs w:val="28"/>
          <w:lang w:eastAsia="zh-CN"/>
        </w:rPr>
        <w:t>第二章</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rPr>
        <w:t>管理职责和分工</w:t>
      </w:r>
    </w:p>
    <w:p w14:paraId="635B4041">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ind w:left="0" w:firstLine="562" w:firstLineChars="200"/>
        <w:jc w:val="left"/>
        <w:textAlignment w:val="baseline"/>
        <w:rPr>
          <w:rFonts w:hint="eastAsia" w:ascii="仿宋" w:hAnsi="仿宋" w:eastAsia="仿宋" w:cs="仿宋"/>
          <w:sz w:val="28"/>
          <w:szCs w:val="28"/>
        </w:rPr>
      </w:pPr>
      <w:r>
        <w:rPr>
          <w:rFonts w:hint="eastAsia" w:ascii="黑体" w:hAnsi="黑体" w:eastAsia="黑体" w:cs="黑体"/>
          <w:b/>
          <w:bCs/>
          <w:sz w:val="28"/>
          <w:szCs w:val="28"/>
          <w:lang w:eastAsia="zh-CN"/>
        </w:rPr>
        <w:t>第四条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rPr>
        <w:t>客</w:t>
      </w:r>
      <w:r>
        <w:rPr>
          <w:rFonts w:hint="eastAsia" w:ascii="仿宋" w:hAnsi="仿宋" w:eastAsia="仿宋" w:cs="仿宋"/>
          <w:sz w:val="28"/>
          <w:szCs w:val="28"/>
          <w:lang w:eastAsia="zh-CN"/>
        </w:rPr>
        <w:t>户</w:t>
      </w:r>
      <w:r>
        <w:rPr>
          <w:rFonts w:hint="eastAsia" w:ascii="仿宋" w:hAnsi="仿宋" w:eastAsia="仿宋" w:cs="仿宋"/>
          <w:sz w:val="28"/>
          <w:szCs w:val="28"/>
        </w:rPr>
        <w:t>服</w:t>
      </w:r>
      <w:r>
        <w:rPr>
          <w:rFonts w:hint="eastAsia" w:ascii="仿宋" w:hAnsi="仿宋" w:eastAsia="仿宋" w:cs="仿宋"/>
          <w:sz w:val="28"/>
          <w:szCs w:val="28"/>
          <w:lang w:eastAsia="zh-CN"/>
        </w:rPr>
        <w:t>务</w:t>
      </w:r>
      <w:r>
        <w:rPr>
          <w:rFonts w:hint="eastAsia" w:ascii="仿宋" w:hAnsi="仿宋" w:eastAsia="仿宋" w:cs="仿宋"/>
          <w:sz w:val="28"/>
          <w:szCs w:val="28"/>
        </w:rPr>
        <w:t>部商家治理组</w:t>
      </w:r>
      <w:r>
        <w:rPr>
          <w:rFonts w:hint="eastAsia" w:ascii="仿宋" w:hAnsi="仿宋" w:eastAsia="仿宋" w:cs="仿宋"/>
          <w:sz w:val="28"/>
          <w:szCs w:val="28"/>
          <w:lang w:eastAsia="zh-CN"/>
        </w:rPr>
        <w:t>负责批销订单发货管理，监督商家在规定时效内进行订单发货，并对发货违规订单进行记录、处罚及申诉审核。</w:t>
      </w:r>
    </w:p>
    <w:p w14:paraId="3E52B6A4">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ind w:left="0" w:firstLine="562" w:firstLineChars="200"/>
        <w:jc w:val="left"/>
        <w:textAlignment w:val="baseline"/>
        <w:rPr>
          <w:rFonts w:hint="eastAsia" w:ascii="仿宋" w:hAnsi="仿宋" w:eastAsia="仿宋" w:cs="仿宋"/>
          <w:sz w:val="28"/>
          <w:szCs w:val="28"/>
        </w:rPr>
      </w:pPr>
      <w:r>
        <w:rPr>
          <w:rFonts w:hint="eastAsia" w:ascii="黑体" w:hAnsi="黑体" w:eastAsia="黑体" w:cs="黑体"/>
          <w:b/>
          <w:bCs/>
          <w:sz w:val="28"/>
          <w:szCs w:val="28"/>
          <w:lang w:eastAsia="zh-CN"/>
        </w:rPr>
        <w:t>第五条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lang w:val="en-US" w:eastAsia="zh-CN"/>
        </w:rPr>
        <w:t>客户服务部商家治理组是</w:t>
      </w:r>
      <w:r>
        <w:rPr>
          <w:rFonts w:hint="eastAsia" w:ascii="仿宋" w:hAnsi="仿宋" w:eastAsia="仿宋" w:cs="仿宋"/>
          <w:sz w:val="28"/>
          <w:szCs w:val="28"/>
          <w:lang w:eastAsia="zh-CN"/>
        </w:rPr>
        <w:t>批销发货管理规则的归口部门</w:t>
      </w:r>
      <w:r>
        <w:rPr>
          <w:rFonts w:hint="eastAsia" w:ascii="仿宋" w:hAnsi="仿宋" w:eastAsia="仿宋" w:cs="仿宋"/>
          <w:sz w:val="28"/>
          <w:szCs w:val="28"/>
        </w:rPr>
        <w:t>，负责</w:t>
      </w:r>
      <w:r>
        <w:rPr>
          <w:rFonts w:hint="eastAsia" w:ascii="仿宋" w:hAnsi="仿宋" w:eastAsia="仿宋" w:cs="仿宋"/>
          <w:sz w:val="28"/>
          <w:szCs w:val="28"/>
          <w:lang w:eastAsia="zh-CN"/>
        </w:rPr>
        <w:t>批销发货管理规则</w:t>
      </w:r>
      <w:r>
        <w:rPr>
          <w:rFonts w:hint="eastAsia" w:ascii="仿宋" w:hAnsi="仿宋" w:eastAsia="仿宋" w:cs="仿宋"/>
          <w:sz w:val="28"/>
          <w:szCs w:val="28"/>
        </w:rPr>
        <w:t>的起草、修订等工作。</w:t>
      </w:r>
    </w:p>
    <w:p w14:paraId="56EE4A9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center"/>
        <w:rPr>
          <w:rStyle w:val="8"/>
          <w:rFonts w:hint="eastAsia" w:ascii="黑体" w:hAnsi="黑体" w:eastAsia="黑体" w:cs="黑体"/>
          <w:b/>
          <w:bCs/>
          <w:sz w:val="28"/>
          <w:szCs w:val="28"/>
          <w:lang w:eastAsia="zh-CN"/>
        </w:rPr>
      </w:pPr>
    </w:p>
    <w:p w14:paraId="04AD559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Style w:val="8"/>
          <w:rFonts w:hint="eastAsia" w:ascii="黑体" w:hAnsi="黑体" w:eastAsia="黑体" w:cs="黑体"/>
          <w:b/>
          <w:bCs/>
          <w:sz w:val="28"/>
          <w:szCs w:val="28"/>
          <w:lang w:eastAsia="zh-CN"/>
        </w:rPr>
      </w:pPr>
    </w:p>
    <w:p w14:paraId="63A2CEC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Style w:val="8"/>
          <w:rFonts w:hint="eastAsia" w:ascii="黑体" w:hAnsi="黑体" w:eastAsia="黑体" w:cs="黑体"/>
          <w:b/>
          <w:bCs/>
          <w:sz w:val="28"/>
          <w:szCs w:val="28"/>
          <w:lang w:eastAsia="zh-CN"/>
        </w:rPr>
      </w:pPr>
    </w:p>
    <w:p w14:paraId="73BAD57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Fonts w:hint="eastAsia" w:ascii="黑体" w:hAnsi="黑体" w:eastAsia="黑体" w:cs="黑体"/>
          <w:b/>
          <w:bCs/>
          <w:sz w:val="28"/>
          <w:szCs w:val="28"/>
        </w:rPr>
      </w:pPr>
      <w:r>
        <w:rPr>
          <w:rStyle w:val="8"/>
          <w:rFonts w:hint="eastAsia" w:ascii="黑体" w:hAnsi="黑体" w:eastAsia="黑体" w:cs="黑体"/>
          <w:b/>
          <w:bCs/>
          <w:sz w:val="28"/>
          <w:szCs w:val="28"/>
          <w:lang w:eastAsia="zh-CN"/>
        </w:rPr>
        <w:t>第三章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发货方式</w:t>
      </w:r>
    </w:p>
    <w:p w14:paraId="6648EE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第六条</w:t>
      </w:r>
      <w:r>
        <w:rPr>
          <w:rFonts w:hint="eastAsia" w:ascii="仿宋" w:hAnsi="仿宋" w:eastAsia="仿宋" w:cs="仿宋"/>
          <w:sz w:val="32"/>
          <w:szCs w:val="32"/>
          <w:lang w:val="en-US" w:eastAsia="zh-CN"/>
        </w:rPr>
        <w:t xml:space="preserve">  </w:t>
      </w:r>
      <w:r>
        <w:rPr>
          <w:rFonts w:hint="eastAsia" w:ascii="仿宋" w:hAnsi="仿宋" w:eastAsia="仿宋" w:cs="仿宋"/>
          <w:sz w:val="28"/>
          <w:szCs w:val="28"/>
        </w:rPr>
        <w:t>掌柜下单后，商家可根据掌柜的需求，结合平台要求及自身的配送能力，在规定的时效内，采用最适当的发货方式履行配送服务。发货方式有如下三种：</w:t>
      </w:r>
    </w:p>
    <w:p w14:paraId="0A73AA93">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（一）</w:t>
      </w:r>
      <w:r>
        <w:rPr>
          <w:rFonts w:hint="eastAsia" w:ascii="仿宋" w:hAnsi="仿宋" w:eastAsia="仿宋" w:cs="仿宋"/>
          <w:sz w:val="28"/>
          <w:szCs w:val="28"/>
        </w:rPr>
        <w:t>商家自送：即商家自有仓储与配送团队，收到订单及配送需求后可以自行组织货物配送；</w:t>
      </w:r>
    </w:p>
    <w:p w14:paraId="530422C6">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邮配送：即邮政提供仓储与配送团队，收到订单及配送需求后，邮包裹根据邮政仓所覆盖的范围统一安排配送的物流模式；</w:t>
      </w:r>
    </w:p>
    <w:p w14:paraId="21E1EFDF">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多批次发货：选择分批要货，掌柜下单后，需要掌柜发起要货数量，商家进行配货（适用于订货会订单）。</w:t>
      </w:r>
    </w:p>
    <w:p w14:paraId="42BF2D7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center"/>
        <w:rPr>
          <w:rStyle w:val="8"/>
          <w:rFonts w:hint="eastAsia" w:ascii="黑体" w:hAnsi="黑体" w:eastAsia="黑体" w:cs="黑体"/>
          <w:b/>
          <w:bCs/>
          <w:sz w:val="28"/>
          <w:szCs w:val="28"/>
          <w:lang w:eastAsia="zh-CN"/>
        </w:rPr>
      </w:pPr>
    </w:p>
    <w:p w14:paraId="781AB03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Fonts w:hint="eastAsia" w:ascii="黑体" w:hAnsi="黑体" w:eastAsia="黑体" w:cs="黑体"/>
          <w:sz w:val="28"/>
          <w:szCs w:val="28"/>
        </w:rPr>
      </w:pPr>
      <w:r>
        <w:rPr>
          <w:rStyle w:val="8"/>
          <w:rFonts w:hint="eastAsia" w:ascii="黑体" w:hAnsi="黑体" w:eastAsia="黑体" w:cs="黑体"/>
          <w:b/>
          <w:bCs/>
          <w:sz w:val="28"/>
          <w:szCs w:val="28"/>
          <w:lang w:eastAsia="zh-CN"/>
        </w:rPr>
        <w:t>第四章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发货时效要求</w:t>
      </w:r>
    </w:p>
    <w:p w14:paraId="44D8C14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第七条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rPr>
        <w:t>不同订单类型发货时效</w:t>
      </w:r>
    </w:p>
    <w:p w14:paraId="7FDC99CF">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（一）</w:t>
      </w:r>
      <w:r>
        <w:rPr>
          <w:rFonts w:hint="eastAsia" w:ascii="仿宋" w:hAnsi="仿宋" w:eastAsia="仿宋" w:cs="仿宋"/>
          <w:sz w:val="28"/>
          <w:szCs w:val="28"/>
          <w:highlight w:val="white"/>
        </w:rPr>
        <w:t>普通：商家需要在掌柜支付订单后的48h内完成包裹出库发运；</w:t>
      </w:r>
    </w:p>
    <w:p w14:paraId="324EF338">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（二）</w:t>
      </w:r>
      <w:r>
        <w:rPr>
          <w:rFonts w:hint="eastAsia" w:ascii="仿宋" w:hAnsi="仿宋" w:eastAsia="仿宋" w:cs="仿宋"/>
          <w:sz w:val="28"/>
          <w:szCs w:val="28"/>
          <w:highlight w:val="white"/>
        </w:rPr>
        <w:t>预售：商家需在掌柜支付完订单尾款后的48h内完成包裹出库发运；</w:t>
      </w:r>
    </w:p>
    <w:p w14:paraId="243B79F7">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订货会：选择分批要货——商家需要在掌柜通知要货后的72h内完成包裹出库发运；未选择分批要货——商家需要在掌柜支付订单后的72h内完成包裹出库发运；</w:t>
      </w:r>
    </w:p>
    <w:p w14:paraId="752D992A">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（四）</w:t>
      </w:r>
      <w:r>
        <w:rPr>
          <w:rFonts w:hint="eastAsia" w:ascii="仿宋" w:hAnsi="仿宋" w:eastAsia="仿宋" w:cs="仿宋"/>
          <w:sz w:val="28"/>
          <w:szCs w:val="28"/>
        </w:rPr>
        <w:t>农资：商家需在掌柜支付订单后的90天内完成包裹出库发运。</w:t>
      </w:r>
    </w:p>
    <w:p w14:paraId="26D2AF3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（五）</w:t>
      </w:r>
      <w:r>
        <w:rPr>
          <w:rFonts w:hint="eastAsia" w:ascii="仿宋" w:hAnsi="仿宋" w:eastAsia="仿宋" w:cs="仿宋"/>
          <w:sz w:val="28"/>
          <w:szCs w:val="28"/>
        </w:rPr>
        <w:t>须展示用户可查询到订单的快递公司揽件跟踪信息（以快递公司系统内记录的时间为准；商家自送除外）。</w:t>
      </w:r>
    </w:p>
    <w:p w14:paraId="033402C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（六）</w:t>
      </w:r>
      <w:r>
        <w:rPr>
          <w:rFonts w:hint="eastAsia" w:ascii="仿宋" w:hAnsi="仿宋" w:eastAsia="仿宋" w:cs="仿宋"/>
          <w:sz w:val="28"/>
          <w:szCs w:val="28"/>
        </w:rPr>
        <w:t>重大节假日或邮乐网官方发起的促销活动等特殊情况，以邮乐网通知或公告的要求为准。</w:t>
      </w:r>
    </w:p>
    <w:p w14:paraId="5FCE2D2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center"/>
        <w:rPr>
          <w:rStyle w:val="8"/>
          <w:rFonts w:hint="eastAsia" w:ascii="黑体" w:hAnsi="黑体" w:eastAsia="黑体" w:cs="黑体"/>
          <w:b/>
          <w:bCs/>
          <w:sz w:val="28"/>
          <w:szCs w:val="28"/>
          <w:lang w:eastAsia="zh-CN"/>
        </w:rPr>
      </w:pPr>
    </w:p>
    <w:p w14:paraId="1044B66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Fonts w:hint="eastAsia" w:ascii="黑体" w:hAnsi="黑体" w:eastAsia="黑体" w:cs="黑体"/>
          <w:b/>
          <w:bCs/>
          <w:sz w:val="28"/>
          <w:szCs w:val="28"/>
        </w:rPr>
      </w:pPr>
      <w:r>
        <w:rPr>
          <w:rStyle w:val="8"/>
          <w:rFonts w:hint="eastAsia" w:ascii="黑体" w:hAnsi="黑体" w:eastAsia="黑体" w:cs="黑体"/>
          <w:b/>
          <w:bCs/>
          <w:sz w:val="28"/>
          <w:szCs w:val="28"/>
          <w:lang w:eastAsia="zh-CN"/>
        </w:rPr>
        <w:t>第五章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发货违规定义（延迟发货、缺货）</w:t>
      </w:r>
    </w:p>
    <w:p w14:paraId="40BC4C3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第八条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rPr>
        <w:t>延迟发货</w:t>
      </w:r>
    </w:p>
    <w:p w14:paraId="07DDA499">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（一）</w:t>
      </w:r>
      <w:r>
        <w:rPr>
          <w:rFonts w:hint="eastAsia" w:ascii="仿宋" w:hAnsi="仿宋" w:eastAsia="仿宋" w:cs="仿宋"/>
          <w:sz w:val="28"/>
          <w:szCs w:val="28"/>
          <w:highlight w:val="white"/>
        </w:rPr>
        <w:t>普通：自掌柜支付订单时间起计算，超过48h仍未有揽收信息的；</w:t>
      </w:r>
    </w:p>
    <w:p w14:paraId="43762FC9">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（二）</w:t>
      </w:r>
      <w:r>
        <w:rPr>
          <w:rFonts w:hint="eastAsia" w:ascii="仿宋" w:hAnsi="仿宋" w:eastAsia="仿宋" w:cs="仿宋"/>
          <w:sz w:val="28"/>
          <w:szCs w:val="28"/>
          <w:highlight w:val="white"/>
        </w:rPr>
        <w:t>预售：自掌柜付完订单尾款时间起计算，超过48h仍未有揽收信息的；</w:t>
      </w:r>
    </w:p>
    <w:p w14:paraId="649389FE">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订货会：选择分批要货——自掌柜通知要货时间起计算，超过72h仍未有揽收信息的；未选择分批要货——自掌柜支付订单时间起计算，超过72h仍未有揽收信息的；</w:t>
      </w:r>
    </w:p>
    <w:p w14:paraId="541A4756">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（四）</w:t>
      </w:r>
      <w:r>
        <w:rPr>
          <w:rFonts w:hint="eastAsia" w:ascii="仿宋" w:hAnsi="仿宋" w:eastAsia="仿宋" w:cs="仿宋"/>
          <w:sz w:val="28"/>
          <w:szCs w:val="28"/>
        </w:rPr>
        <w:t>农资：自掌柜支付订单时间起计算，超过90天仍未有揽收信息的；</w:t>
      </w:r>
    </w:p>
    <w:p w14:paraId="5B55DDAE">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（五）</w:t>
      </w:r>
      <w:r>
        <w:rPr>
          <w:rFonts w:hint="eastAsia" w:ascii="仿宋" w:hAnsi="仿宋" w:eastAsia="仿宋" w:cs="仿宋"/>
          <w:sz w:val="28"/>
          <w:szCs w:val="28"/>
        </w:rPr>
        <w:t>其他特殊情形等另行约定发货时间的商品，商家实际未在约定时间内发货，妨害掌柜购买权益的行为。</w:t>
      </w:r>
    </w:p>
    <w:p w14:paraId="2470911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第九条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缺货</w:t>
      </w:r>
    </w:p>
    <w:p w14:paraId="75AA6AFF">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（一）</w:t>
      </w:r>
      <w:r>
        <w:rPr>
          <w:rFonts w:hint="eastAsia" w:ascii="仿宋" w:hAnsi="仿宋" w:eastAsia="仿宋" w:cs="仿宋"/>
          <w:sz w:val="28"/>
          <w:szCs w:val="28"/>
          <w:highlight w:val="white"/>
        </w:rPr>
        <w:t>普通：自掌柜支付订单时间起计算，超过120h仍未有揽收信息的；</w:t>
      </w:r>
    </w:p>
    <w:p w14:paraId="6F9AFC56">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（二）</w:t>
      </w:r>
      <w:r>
        <w:rPr>
          <w:rFonts w:hint="eastAsia" w:ascii="仿宋" w:hAnsi="仿宋" w:eastAsia="仿宋" w:cs="仿宋"/>
          <w:sz w:val="28"/>
          <w:szCs w:val="28"/>
          <w:highlight w:val="white"/>
        </w:rPr>
        <w:t>预售：自掌柜付完订单尾款时间起计算，超过120h仍未有揽收信息的；</w:t>
      </w:r>
    </w:p>
    <w:p w14:paraId="0CE6ACC3">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（三）</w:t>
      </w:r>
      <w:r>
        <w:rPr>
          <w:rFonts w:hint="eastAsia" w:ascii="仿宋" w:hAnsi="仿宋" w:eastAsia="仿宋" w:cs="仿宋"/>
          <w:sz w:val="28"/>
          <w:szCs w:val="28"/>
          <w:highlight w:val="white"/>
        </w:rPr>
        <w:t>订货会：选择分批要货——自掌柜通知要货时间起计算，超过144h仍未有揽收信息的；未选择分批要货——自掌柜支付订单时间起计算，超过144h仍未有揽收信息的；</w:t>
      </w:r>
    </w:p>
    <w:p w14:paraId="095D92DB">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highlight w:val="white"/>
        </w:rPr>
      </w:pPr>
      <w:r>
        <w:rPr>
          <w:rFonts w:hint="eastAsia" w:ascii="仿宋" w:hAnsi="仿宋" w:eastAsia="仿宋" w:cs="仿宋"/>
          <w:sz w:val="28"/>
          <w:szCs w:val="28"/>
          <w:highlight w:val="white"/>
          <w:lang w:eastAsia="zh-CN"/>
        </w:rPr>
        <w:t>（四）</w:t>
      </w:r>
      <w:r>
        <w:rPr>
          <w:rFonts w:hint="eastAsia" w:ascii="仿宋" w:hAnsi="仿宋" w:eastAsia="仿宋" w:cs="仿宋"/>
          <w:sz w:val="28"/>
          <w:szCs w:val="28"/>
          <w:highlight w:val="white"/>
        </w:rPr>
        <w:t>农资：自掌柜支付订单时间起计算，超过93天仍未有揽收信息的；</w:t>
      </w:r>
    </w:p>
    <w:p w14:paraId="298A04EF">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（五）</w:t>
      </w:r>
      <w:r>
        <w:rPr>
          <w:rFonts w:hint="eastAsia" w:ascii="仿宋" w:hAnsi="仿宋" w:eastAsia="仿宋" w:cs="仿宋"/>
          <w:sz w:val="28"/>
          <w:szCs w:val="28"/>
        </w:rPr>
        <w:t>发货责任：邮乐平台依据本条规则对相关延迟发货订单做出处理，并不免除商家发货责任；无论商家是否已经实际赔付给掌柜，商家都应该继续履行相关订单延迟发货的责任。如后续造成掌柜投诉或者较大舆情风险，邮乐平台有权对商家进行相应处理。</w:t>
      </w:r>
    </w:p>
    <w:p w14:paraId="5560CEB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center"/>
        <w:rPr>
          <w:rStyle w:val="8"/>
          <w:rFonts w:hint="eastAsia" w:ascii="黑体" w:hAnsi="黑体" w:eastAsia="黑体" w:cs="黑体"/>
          <w:b/>
          <w:bCs/>
          <w:sz w:val="28"/>
          <w:szCs w:val="28"/>
          <w:highlight w:val="white"/>
          <w:lang w:eastAsia="zh-CN"/>
        </w:rPr>
      </w:pPr>
    </w:p>
    <w:p w14:paraId="64DD710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Fonts w:hint="eastAsia" w:ascii="黑体" w:hAnsi="黑体" w:eastAsia="黑体" w:cs="黑体"/>
          <w:b/>
          <w:bCs/>
          <w:sz w:val="28"/>
          <w:szCs w:val="28"/>
        </w:rPr>
      </w:pPr>
      <w:r>
        <w:rPr>
          <w:rStyle w:val="8"/>
          <w:rFonts w:hint="eastAsia" w:ascii="黑体" w:hAnsi="黑体" w:eastAsia="黑体" w:cs="黑体"/>
          <w:b/>
          <w:bCs/>
          <w:sz w:val="28"/>
          <w:szCs w:val="28"/>
          <w:highlight w:val="white"/>
          <w:lang w:eastAsia="zh-CN"/>
        </w:rPr>
        <w:t>第六章</w:t>
      </w:r>
      <w:r>
        <w:rPr>
          <w:rStyle w:val="8"/>
          <w:rFonts w:hint="eastAsia" w:ascii="黑体" w:hAnsi="黑体" w:eastAsia="黑体" w:cs="黑体"/>
          <w:b/>
          <w:bCs/>
          <w:sz w:val="28"/>
          <w:szCs w:val="28"/>
          <w:highlight w:val="white"/>
          <w:lang w:val="en-US" w:eastAsia="zh-CN"/>
        </w:rPr>
        <w:t xml:space="preserve"> </w:t>
      </w:r>
      <w:r>
        <w:rPr>
          <w:rStyle w:val="8"/>
          <w:rFonts w:hint="eastAsia" w:ascii="黑体" w:hAnsi="黑体" w:eastAsia="黑体" w:cs="黑体"/>
          <w:b/>
          <w:bCs/>
          <w:sz w:val="28"/>
          <w:szCs w:val="28"/>
          <w:highlight w:val="white"/>
        </w:rPr>
        <w:t>发货违规处罚</w:t>
      </w:r>
    </w:p>
    <w:p w14:paraId="09C105D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highlight w:val="white"/>
          <w:lang w:eastAsia="zh-CN"/>
        </w:rPr>
        <w:t>第十条</w:t>
      </w:r>
      <w:r>
        <w:rPr>
          <w:rFonts w:hint="eastAsia" w:ascii="黑体" w:hAnsi="黑体" w:eastAsia="黑体" w:cs="黑体"/>
          <w:b/>
          <w:bCs/>
          <w:sz w:val="28"/>
          <w:szCs w:val="28"/>
          <w:highlight w:val="white"/>
          <w:lang w:val="en-US" w:eastAsia="zh-CN"/>
        </w:rPr>
        <w:t xml:space="preserve"> </w:t>
      </w:r>
      <w:r>
        <w:rPr>
          <w:rFonts w:hint="eastAsia" w:ascii="仿宋" w:hAnsi="仿宋" w:eastAsia="仿宋" w:cs="仿宋"/>
          <w:sz w:val="28"/>
          <w:szCs w:val="28"/>
          <w:highlight w:val="white"/>
          <w:lang w:val="en-US" w:eastAsia="zh-CN"/>
        </w:rPr>
        <w:t xml:space="preserve"> </w:t>
      </w:r>
      <w:r>
        <w:rPr>
          <w:rFonts w:hint="eastAsia" w:ascii="仿宋" w:hAnsi="仿宋" w:eastAsia="仿宋" w:cs="仿宋"/>
          <w:sz w:val="28"/>
          <w:szCs w:val="28"/>
          <w:highlight w:val="white"/>
        </w:rPr>
        <w:t>延迟发货</w:t>
      </w:r>
    </w:p>
    <w:p w14:paraId="792334E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（一）</w:t>
      </w:r>
      <w:r>
        <w:rPr>
          <w:rFonts w:hint="eastAsia" w:ascii="仿宋" w:hAnsi="仿宋" w:eastAsia="仿宋" w:cs="仿宋"/>
          <w:sz w:val="28"/>
          <w:szCs w:val="28"/>
          <w:highlight w:val="white"/>
        </w:rPr>
        <w:t>邮乐平台扣除商家违约金，扣除金额为商品实际成交金额5%（单笔交易最低不少于3元，最高不超过50元）；</w:t>
      </w:r>
    </w:p>
    <w:p w14:paraId="04F23CB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lang w:eastAsia="zh-CN"/>
        </w:rPr>
        <w:t>（二）</w:t>
      </w:r>
      <w:r>
        <w:rPr>
          <w:rFonts w:hint="eastAsia" w:ascii="仿宋" w:hAnsi="仿宋" w:eastAsia="仿宋" w:cs="仿宋"/>
          <w:sz w:val="28"/>
          <w:szCs w:val="28"/>
          <w:highlight w:val="white"/>
        </w:rPr>
        <w:t>同一个商家1个自然日内产生10单及以上延迟发货违规，下架管控涉及订单内所有商品3天，管控期间不可上架。</w:t>
      </w:r>
    </w:p>
    <w:p w14:paraId="3CA5DD9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highlight w:val="white"/>
          <w:lang w:eastAsia="zh-CN"/>
        </w:rPr>
        <w:t>第十一条</w:t>
      </w:r>
      <w:r>
        <w:rPr>
          <w:rFonts w:hint="eastAsia" w:ascii="仿宋" w:hAnsi="仿宋" w:eastAsia="仿宋" w:cs="仿宋"/>
          <w:sz w:val="28"/>
          <w:szCs w:val="28"/>
          <w:highlight w:val="white"/>
          <w:lang w:val="en-US" w:eastAsia="zh-CN"/>
        </w:rPr>
        <w:t xml:space="preserve">  </w:t>
      </w:r>
      <w:r>
        <w:rPr>
          <w:rFonts w:hint="eastAsia" w:ascii="仿宋" w:hAnsi="仿宋" w:eastAsia="仿宋" w:cs="仿宋"/>
          <w:sz w:val="28"/>
          <w:szCs w:val="28"/>
          <w:highlight w:val="white"/>
        </w:rPr>
        <w:t>缺货</w:t>
      </w:r>
    </w:p>
    <w:p w14:paraId="5DFF372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white"/>
        </w:rPr>
        <w:t>邮乐平台扣除商家违约金，扣除金额为商品实际成交金额的30%（单笔交易最低不少于5元，最高不超过200元扣除商家违约金）。</w:t>
      </w:r>
    </w:p>
    <w:p w14:paraId="155BD14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both"/>
        <w:rPr>
          <w:rStyle w:val="8"/>
          <w:rFonts w:hint="eastAsia" w:ascii="黑体" w:hAnsi="黑体" w:eastAsia="黑体" w:cs="黑体"/>
          <w:b/>
          <w:bCs/>
          <w:sz w:val="28"/>
          <w:szCs w:val="28"/>
          <w:lang w:eastAsia="zh-CN"/>
        </w:rPr>
      </w:pPr>
    </w:p>
    <w:p w14:paraId="7368D77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rPr>
          <w:rFonts w:hint="eastAsia" w:ascii="黑体" w:hAnsi="黑体" w:eastAsia="黑体" w:cs="黑体"/>
          <w:b/>
          <w:bCs/>
          <w:sz w:val="28"/>
          <w:szCs w:val="28"/>
        </w:rPr>
      </w:pPr>
      <w:r>
        <w:rPr>
          <w:rStyle w:val="8"/>
          <w:rFonts w:hint="eastAsia" w:ascii="黑体" w:hAnsi="黑体" w:eastAsia="黑体" w:cs="黑体"/>
          <w:b/>
          <w:bCs/>
          <w:sz w:val="28"/>
          <w:szCs w:val="28"/>
          <w:lang w:eastAsia="zh-CN"/>
        </w:rPr>
        <w:t>第七章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发货违规申诉</w:t>
      </w:r>
    </w:p>
    <w:p w14:paraId="175326E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2" w:firstLineChars="200"/>
        <w:jc w:val="left"/>
        <w:textAlignment w:val="auto"/>
        <w:rPr>
          <w:rFonts w:hint="eastAsia" w:ascii="仿宋" w:hAnsi="仿宋" w:eastAsia="仿宋" w:cs="仿宋"/>
          <w:sz w:val="28"/>
          <w:szCs w:val="28"/>
          <w:lang w:val="en-US" w:eastAsia="zh-CN"/>
        </w:rPr>
      </w:pPr>
      <w:r>
        <w:rPr>
          <w:rFonts w:hint="eastAsia" w:ascii="黑体" w:hAnsi="黑体" w:eastAsia="黑体" w:cs="黑体"/>
          <w:b/>
          <w:bCs/>
          <w:sz w:val="28"/>
          <w:szCs w:val="28"/>
          <w:lang w:eastAsia="zh-CN"/>
        </w:rPr>
        <w:t>第十二条</w:t>
      </w:r>
      <w:r>
        <w:rPr>
          <w:rFonts w:hint="eastAsia" w:ascii="黑体" w:hAnsi="黑体" w:eastAsia="黑体" w:cs="黑体"/>
          <w:b/>
          <w:bCs/>
          <w:sz w:val="28"/>
          <w:szCs w:val="28"/>
          <w:lang w:val="en-US" w:eastAsia="zh-CN"/>
        </w:rPr>
        <w:t xml:space="preserve"> </w:t>
      </w:r>
      <w:r>
        <w:rPr>
          <w:rFonts w:hint="eastAsia" w:ascii="仿宋" w:hAnsi="仿宋" w:eastAsia="仿宋" w:cs="仿宋"/>
          <w:sz w:val="28"/>
          <w:szCs w:val="28"/>
          <w:lang w:val="en-US" w:eastAsia="zh-CN"/>
        </w:rPr>
        <w:t xml:space="preserve"> 申诉流程及资料</w:t>
      </w:r>
    </w:p>
    <w:p w14:paraId="6682D09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（一）</w:t>
      </w:r>
      <w:r>
        <w:rPr>
          <w:rFonts w:hint="eastAsia" w:ascii="仿宋" w:hAnsi="仿宋" w:eastAsia="仿宋" w:cs="仿宋"/>
          <w:sz w:val="28"/>
          <w:szCs w:val="28"/>
        </w:rPr>
        <w:t>邮乐针对商家违规行为，核实确认后将根据《商家违规管理规则》下发违规单，商家可以在违规单作出之时起7日内对违规单进行查看、确认或发起违规申诉。7日内未进行违规申诉的，视为商家认可违规处罚，违规处理措施将在申诉期满后自动生效。</w:t>
      </w:r>
    </w:p>
    <w:p w14:paraId="0DD61FE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针对同一违规单，商户只有一次申诉机会，商家订单违规，可以通过</w:t>
      </w:r>
      <w:r>
        <w:rPr>
          <w:rFonts w:hint="eastAsia" w:ascii="仿宋" w:hAnsi="仿宋" w:eastAsia="仿宋" w:cs="仿宋"/>
          <w:sz w:val="28"/>
          <w:szCs w:val="28"/>
          <w:lang w:val="en-US" w:eastAsia="zh-CN"/>
        </w:rPr>
        <w:t>商家</w:t>
      </w:r>
      <w:r>
        <w:rPr>
          <w:rFonts w:hint="eastAsia" w:ascii="仿宋" w:hAnsi="仿宋" w:eastAsia="仿宋" w:cs="仿宋"/>
          <w:sz w:val="28"/>
          <w:szCs w:val="28"/>
        </w:rPr>
        <w:t>管理后台“客户服务”—“违规订单”处发起违规申诉。</w:t>
      </w:r>
    </w:p>
    <w:p w14:paraId="449B3A9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邮乐在收到商家提起的申诉后，将及时审核商家提交的申诉材料并反馈相应处理结果。若违规申诉成功，则对应的违规处罚不成立、处罚措施不执行；若申诉不成功，则对应的违规处罚成立、处罚措施将直接执行。</w:t>
      </w:r>
    </w:p>
    <w:p w14:paraId="7FCC789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8"/>
          <w:rFonts w:hint="eastAsia" w:ascii="黑体" w:hAnsi="黑体" w:eastAsia="黑体" w:cs="黑体"/>
          <w:b/>
          <w:bCs/>
          <w:sz w:val="28"/>
          <w:szCs w:val="28"/>
          <w:lang w:eastAsia="zh-CN"/>
        </w:rPr>
      </w:pPr>
      <w:r>
        <w:rPr>
          <w:rFonts w:hint="eastAsia" w:ascii="仿宋" w:hAnsi="仿宋" w:eastAsia="仿宋" w:cs="仿宋"/>
          <w:sz w:val="28"/>
          <w:szCs w:val="28"/>
          <w:lang w:eastAsia="zh-CN"/>
        </w:rPr>
        <w:t>（四）</w:t>
      </w:r>
      <w:r>
        <w:rPr>
          <w:rFonts w:hint="eastAsia" w:ascii="仿宋" w:hAnsi="仿宋" w:eastAsia="仿宋" w:cs="仿宋"/>
          <w:sz w:val="28"/>
          <w:szCs w:val="28"/>
        </w:rPr>
        <w:t>为了保证申诉的有效性，提高申诉成功率，进行违规申诉时商家需按照邮乐的要求提供完整、真实、有效的证明材料，包括但不限于：聊天记录、截图、链接、照片、录音、快递单凭证、报案回执等。如商家提供虚假证明材料的，邮乐将按照《不配合平台管理细则》处理。</w:t>
      </w:r>
    </w:p>
    <w:p w14:paraId="4E47C18D">
      <w:pPr>
        <w:pStyle w:val="5"/>
        <w:keepNext w:val="0"/>
        <w:keepLines w:val="0"/>
        <w:pageBreakBefore w:val="0"/>
        <w:widowControl/>
        <w:suppressLineNumbers w:val="0"/>
        <w:kinsoku/>
        <w:wordWrap/>
        <w:overflowPunct/>
        <w:topLinePunct w:val="0"/>
        <w:autoSpaceDE/>
        <w:autoSpaceDN/>
        <w:bidi w:val="0"/>
        <w:adjustRightInd/>
        <w:snapToGrid/>
        <w:spacing w:before="781" w:beforeLines="250" w:beforeAutospacing="0" w:afterAutospacing="0" w:line="500" w:lineRule="exact"/>
        <w:jc w:val="center"/>
        <w:textAlignment w:val="auto"/>
        <w:rPr>
          <w:rFonts w:hint="eastAsia" w:ascii="黑体" w:hAnsi="黑体" w:eastAsia="黑体" w:cs="黑体"/>
          <w:sz w:val="28"/>
          <w:szCs w:val="28"/>
        </w:rPr>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-85725</wp:posOffset>
            </wp:positionH>
            <wp:positionV relativeFrom="paragraph">
              <wp:posOffset>297180</wp:posOffset>
            </wp:positionV>
            <wp:extent cx="5596890" cy="1539240"/>
            <wp:effectExtent l="0" t="0" r="3810" b="3810"/>
            <wp:wrapSquare wrapText="bothSides"/>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596890" cy="1539240"/>
                    </a:xfrm>
                    <a:prstGeom prst="rect">
                      <a:avLst/>
                    </a:prstGeom>
                    <a:noFill/>
                    <a:ln w="9525">
                      <a:noFill/>
                    </a:ln>
                  </pic:spPr>
                </pic:pic>
              </a:graphicData>
            </a:graphic>
          </wp:anchor>
        </w:drawing>
      </w:r>
      <w:r>
        <w:rPr>
          <w:rStyle w:val="8"/>
          <w:rFonts w:hint="eastAsia" w:ascii="黑体" w:hAnsi="黑体" w:eastAsia="黑体" w:cs="黑体"/>
          <w:b/>
          <w:bCs/>
          <w:sz w:val="28"/>
          <w:szCs w:val="28"/>
          <w:lang w:eastAsia="zh-CN"/>
        </w:rPr>
        <w:t>第八章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争议场景及补充</w:t>
      </w:r>
    </w:p>
    <w:p w14:paraId="7ECA658E">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第十三条</w:t>
      </w:r>
      <w:r>
        <w:rPr>
          <w:rFonts w:hint="eastAsia" w:ascii="仿宋" w:hAnsi="仿宋" w:eastAsia="仿宋" w:cs="仿宋"/>
          <w:b/>
          <w:bCs/>
          <w:sz w:val="28"/>
          <w:szCs w:val="28"/>
          <w:lang w:val="en-US"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出现以下情形的，邮乐平台不予受理此类纠纷，建议买卖双方自行协商处理，或通过司法途径等向相对方主张权利：</w:t>
      </w:r>
    </w:p>
    <w:p w14:paraId="41D27F8B">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（一）</w:t>
      </w:r>
      <w:r>
        <w:rPr>
          <w:rFonts w:hint="eastAsia" w:ascii="仿宋" w:hAnsi="仿宋" w:eastAsia="仿宋" w:cs="仿宋"/>
          <w:sz w:val="28"/>
          <w:szCs w:val="28"/>
        </w:rPr>
        <w:t>因不可抗力因素，商家无法在规定/约定时限内送达的情形。不可抗力因素：是指合同订立时不能预见、不能避免且不能克服的客观情况。包括自然灾害，如台风、地震、洪水、冰雹；政府行为，如征收、征用；社会异常事件，如罢工、骚乱等；</w:t>
      </w:r>
    </w:p>
    <w:p w14:paraId="6C0A8097">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经新闻媒体曝光、国家行政管理部门通报或经邮乐平台排查发现，商品本身或信息涉嫌违法违规，为保障消费者权益，邮乐平台要求商家立即停止发货的情形；</w:t>
      </w:r>
    </w:p>
    <w:p w14:paraId="725552E5">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因不可抗力因素导致无法按照约定时间发货且向邮乐平台发邮件报备并成功的情形。</w:t>
      </w:r>
    </w:p>
    <w:p w14:paraId="0FE038FD">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560" w:firstLineChars="200"/>
        <w:jc w:val="left"/>
        <w:textAlignment w:val="auto"/>
        <w:rPr>
          <w:rFonts w:hint="eastAsia" w:ascii="仿宋" w:hAnsi="仿宋" w:eastAsia="仿宋" w:cs="仿宋"/>
          <w:sz w:val="28"/>
          <w:szCs w:val="28"/>
        </w:rPr>
      </w:pPr>
    </w:p>
    <w:p w14:paraId="1664A20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rPr>
          <w:rFonts w:hint="eastAsia" w:ascii="黑体" w:hAnsi="黑体" w:eastAsia="黑体" w:cs="黑体"/>
          <w:sz w:val="28"/>
          <w:szCs w:val="28"/>
        </w:rPr>
      </w:pPr>
      <w:r>
        <w:rPr>
          <w:rStyle w:val="8"/>
          <w:rFonts w:hint="eastAsia" w:ascii="黑体" w:hAnsi="黑体" w:eastAsia="黑体" w:cs="黑体"/>
          <w:b/>
          <w:bCs/>
          <w:sz w:val="28"/>
          <w:szCs w:val="28"/>
          <w:lang w:eastAsia="zh-CN"/>
        </w:rPr>
        <w:t>第九章</w:t>
      </w:r>
      <w:r>
        <w:rPr>
          <w:rStyle w:val="8"/>
          <w:rFonts w:hint="eastAsia" w:ascii="黑体" w:hAnsi="黑体" w:eastAsia="黑体" w:cs="黑体"/>
          <w:b/>
          <w:bCs/>
          <w:sz w:val="28"/>
          <w:szCs w:val="28"/>
          <w:lang w:val="en-US" w:eastAsia="zh-CN"/>
        </w:rPr>
        <w:t xml:space="preserve"> </w:t>
      </w:r>
      <w:r>
        <w:rPr>
          <w:rStyle w:val="8"/>
          <w:rFonts w:hint="eastAsia" w:ascii="黑体" w:hAnsi="黑体" w:eastAsia="黑体" w:cs="黑体"/>
          <w:b/>
          <w:bCs/>
          <w:sz w:val="28"/>
          <w:szCs w:val="28"/>
        </w:rPr>
        <w:t>附则</w:t>
      </w:r>
    </w:p>
    <w:p w14:paraId="5CA9106D">
      <w:pPr>
        <w:pStyle w:val="5"/>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2" w:firstLineChars="200"/>
        <w:jc w:val="left"/>
        <w:textAlignment w:val="auto"/>
        <w:rPr>
          <w:rFonts w:hint="eastAsia" w:ascii="仿宋" w:hAnsi="仿宋" w:eastAsia="仿宋" w:cs="仿宋"/>
          <w:sz w:val="28"/>
          <w:szCs w:val="28"/>
        </w:rPr>
      </w:pPr>
      <w:r>
        <w:rPr>
          <w:rFonts w:hint="eastAsia" w:ascii="黑体" w:hAnsi="黑体" w:eastAsia="黑体" w:cs="黑体"/>
          <w:b/>
          <w:bCs/>
          <w:sz w:val="28"/>
          <w:szCs w:val="28"/>
          <w:lang w:eastAsia="zh-CN"/>
        </w:rPr>
        <w:t>第十四条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邮乐网会根据平台运营情况随时调整本规则并以公告的形式向商家公示。商家入驻邮乐网即表示接受邮乐网其后不时调整、颁布的管理规则。</w:t>
      </w:r>
    </w:p>
    <w:p w14:paraId="569AFDAB">
      <w:pPr>
        <w:keepNext w:val="0"/>
        <w:keepLines w:val="0"/>
        <w:pageBreakBefore w:val="0"/>
        <w:kinsoku/>
        <w:wordWrap/>
        <w:overflowPunct/>
        <w:topLinePunct w:val="0"/>
        <w:autoSpaceDE/>
        <w:autoSpaceDN/>
        <w:bidi w:val="0"/>
        <w:adjustRightInd/>
        <w:snapToGrid/>
        <w:spacing w:beforeAutospacing="0" w:afterAutospacing="0" w:line="500" w:lineRule="exact"/>
        <w:ind w:firstLine="562" w:firstLineChars="200"/>
        <w:textAlignment w:val="auto"/>
      </w:pPr>
      <w:r>
        <w:rPr>
          <w:rFonts w:hint="eastAsia" w:ascii="黑体" w:hAnsi="黑体" w:eastAsia="黑体" w:cs="黑体"/>
          <w:b/>
          <w:bCs/>
          <w:sz w:val="28"/>
          <w:szCs w:val="28"/>
          <w:lang w:eastAsia="zh-CN"/>
        </w:rPr>
        <w:t>第十五条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本</w:t>
      </w:r>
      <w:r>
        <w:rPr>
          <w:rFonts w:hint="eastAsia" w:ascii="仿宋" w:hAnsi="仿宋" w:eastAsia="仿宋" w:cs="仿宋"/>
          <w:sz w:val="28"/>
          <w:szCs w:val="28"/>
          <w:lang w:eastAsia="zh-CN"/>
        </w:rPr>
        <w:t>规范</w:t>
      </w:r>
      <w:r>
        <w:rPr>
          <w:rFonts w:hint="eastAsia" w:ascii="仿宋" w:hAnsi="仿宋" w:eastAsia="仿宋" w:cs="仿宋"/>
          <w:sz w:val="28"/>
          <w:szCs w:val="28"/>
        </w:rPr>
        <w:t>自印发之日起施行</w:t>
      </w:r>
      <w:r>
        <w:rPr>
          <w:rFonts w:hint="eastAsia" w:ascii="仿宋" w:hAnsi="仿宋" w:eastAsia="仿宋" w:cs="仿宋"/>
          <w:sz w:val="28"/>
          <w:szCs w:val="28"/>
          <w:lang w:eastAsia="zh-CN"/>
        </w:rPr>
        <w:t>，由客户服务部负责解释。</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8B26AE-B93C-4546-918A-C1060A8A8E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0378C801-C88F-4E60-959F-D01D8136C958}"/>
  </w:font>
  <w:font w:name="方正楷体_GB2312">
    <w:panose1 w:val="02000000000000000000"/>
    <w:charset w:val="86"/>
    <w:family w:val="auto"/>
    <w:pitch w:val="default"/>
    <w:sig w:usb0="A00002BF" w:usb1="184F6CFA" w:usb2="00000012" w:usb3="00000000" w:csb0="00040001" w:csb1="00000000"/>
    <w:embedRegular r:id="rId3" w:fontKey="{0561E07A-4036-42F0-A640-0C1AC1D84DC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9978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7DA3C">
                          <w:pPr>
                            <w:pStyle w:val="3"/>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57DA3C">
                    <w:pPr>
                      <w:pStyle w:val="3"/>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277035"/>
    <w:rsid w:val="03DC1511"/>
    <w:rsid w:val="0FE84659"/>
    <w:rsid w:val="15C86474"/>
    <w:rsid w:val="33CC0FC3"/>
    <w:rsid w:val="3F702C9D"/>
    <w:rsid w:val="43FB56B5"/>
    <w:rsid w:val="475B4428"/>
    <w:rsid w:val="497E6723"/>
    <w:rsid w:val="518671C2"/>
    <w:rsid w:val="538F6F30"/>
    <w:rsid w:val="575E5615"/>
    <w:rsid w:val="57BE1949"/>
    <w:rsid w:val="65277035"/>
    <w:rsid w:val="65C73B89"/>
    <w:rsid w:val="67AE67A9"/>
    <w:rsid w:val="698C2AD6"/>
    <w:rsid w:val="70936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qFormat/>
    <w:uiPriority w:val="0"/>
    <w:pPr>
      <w:spacing w:before="330" w:after="120" w:line="536" w:lineRule="exact"/>
      <w:outlineLvl w:val="1"/>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2459</Words>
  <Characters>2497</Characters>
  <Lines>0</Lines>
  <Paragraphs>0</Paragraphs>
  <TotalTime>1</TotalTime>
  <ScaleCrop>false</ScaleCrop>
  <LinksUpToDate>false</LinksUpToDate>
  <CharactersWithSpaces>2537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2024-12-30T02:27:00Z</dcterms:created>
  <dc:creator>杨金柱</dc:creator>
  <cp:lastModifiedBy>杨金柱</cp:lastModifiedBy>
  <dcterms:modified xsi:type="dcterms:W3CDTF">2025-11-21T02:13:40Z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8DBAC3C1EE194378A87232CDB2244FD9_13</vt:lpwstr>
  </property>
  <property fmtid="{D5CDD505-2E9C-101B-9397-08002B2CF9AE}" pid="4" name="KSOTemplateDocerSaveRecord">
    <vt:lpwstr>eyJoZGlkIjoiMWQwNGI2ZTBlNDI4NmNmYTE0MzgzOGZhYjEyZTcwOTMiLCJ1c2VySWQiOiIxNDk5NjIzMzg3In0=</vt:lpwstr>
  </property>
</Properties>
</file>