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20" w:lineRule="exact"/>
        <w:ind w:firstLine="883" w:firstLineChars="200"/>
        <w:jc w:val="center"/>
        <w:rPr>
          <w:rFonts w:hint="eastAsia" w:ascii="宋体" w:hAnsi="宋体" w:eastAsia="宋体" w:cs="宋体"/>
          <w:b/>
          <w:kern w:val="0"/>
          <w:sz w:val="44"/>
          <w:szCs w:val="44"/>
        </w:rPr>
      </w:pPr>
      <w:r>
        <w:rPr>
          <w:rFonts w:ascii="宋体" w:hAnsi="宋体" w:eastAsia="宋体" w:cs="宋体"/>
          <w:b/>
          <w:kern w:val="0"/>
          <w:sz w:val="44"/>
          <w:szCs w:val="44"/>
        </w:rPr>
        <w:t>感官质量不合格细则</w:t>
      </w:r>
    </w:p>
    <w:p>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一、感官质量不合格定义</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是指从商品包装、商详页描述、商品外观质量、功能/功效描述等多维度对商品质量进行评估认定的结果。</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感官质量主要包括四个一级指标、多项二级指标，一级指标为商品包装、商详页描述、商品外观质量</w:t>
      </w:r>
      <w:bookmarkStart w:id="0" w:name="_GoBack"/>
      <w:bookmarkEnd w:id="0"/>
      <w:r>
        <w:rPr>
          <w:rFonts w:ascii="仿宋" w:hAnsi="仿宋" w:eastAsia="仿宋" w:cs="宋体"/>
          <w:kern w:val="0"/>
          <w:sz w:val="32"/>
          <w:szCs w:val="32"/>
        </w:rPr>
        <w:t>、功能/功效描述。二级指标根据商品品类特性，在各品类间略有差异，详见“五、商品感官质量指标说明”。</w:t>
      </w:r>
    </w:p>
    <w:p>
      <w:pPr>
        <w:widowControl/>
        <w:numPr>
          <w:ilvl w:val="0"/>
          <w:numId w:val="1"/>
        </w:numPr>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商品包装，</w:t>
      </w:r>
      <w:r>
        <w:rPr>
          <w:rFonts w:ascii="仿宋" w:hAnsi="仿宋" w:eastAsia="仿宋" w:cs="宋体"/>
          <w:kern w:val="0"/>
          <w:sz w:val="32"/>
          <w:szCs w:val="32"/>
        </w:rPr>
        <w:t xml:space="preserve">指商品包装是否能有效保护商品。 </w:t>
      </w:r>
    </w:p>
    <w:p>
      <w:pPr>
        <w:widowControl/>
        <w:numPr>
          <w:ilvl w:val="0"/>
          <w:numId w:val="1"/>
        </w:numPr>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商品信息描述，</w:t>
      </w:r>
      <w:r>
        <w:rPr>
          <w:rFonts w:ascii="仿宋" w:hAnsi="仿宋" w:eastAsia="仿宋" w:cs="宋体"/>
          <w:kern w:val="0"/>
          <w:sz w:val="32"/>
          <w:szCs w:val="32"/>
        </w:rPr>
        <w:t xml:space="preserve">指商品详情页与商品实物的款式、品牌、颜色、材质、规格、重量是否一致。 </w:t>
      </w:r>
    </w:p>
    <w:p>
      <w:pPr>
        <w:widowControl/>
        <w:numPr>
          <w:ilvl w:val="0"/>
          <w:numId w:val="1"/>
        </w:numPr>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商品外观质量 ，</w:t>
      </w:r>
      <w:r>
        <w:rPr>
          <w:rFonts w:ascii="仿宋" w:hAnsi="仿宋" w:eastAsia="仿宋" w:cs="宋体"/>
          <w:kern w:val="0"/>
          <w:sz w:val="32"/>
          <w:szCs w:val="32"/>
        </w:rPr>
        <w:t xml:space="preserve">指商品的做工、规格尺寸实际测量值与商品实物标注是否一致或有商品外观是否有缺陷。 </w:t>
      </w:r>
    </w:p>
    <w:p>
      <w:pPr>
        <w:widowControl/>
        <w:numPr>
          <w:ilvl w:val="0"/>
          <w:numId w:val="1"/>
        </w:numPr>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功能功效描述，</w:t>
      </w:r>
      <w:r>
        <w:rPr>
          <w:rFonts w:ascii="仿宋" w:hAnsi="仿宋" w:eastAsia="仿宋" w:cs="宋体"/>
          <w:kern w:val="0"/>
          <w:sz w:val="32"/>
          <w:szCs w:val="32"/>
        </w:rPr>
        <w:t xml:space="preserve"> 指普通人认知、商详页宣称、说明书中提及的功能否能正常使用、或提及的功效是否能够达到效果。</w:t>
      </w:r>
    </w:p>
    <w:p>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二、“情节程度”如何判定？</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结合商品的实际情况，平台根据感官质量指标进行扣款，实行扣款制。</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扣款标准</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情节轻微，不扣款:</w:t>
      </w:r>
      <w:r>
        <w:rPr>
          <w:rFonts w:ascii="仿宋" w:hAnsi="仿宋" w:eastAsia="仿宋" w:cs="宋体"/>
          <w:kern w:val="0"/>
          <w:sz w:val="32"/>
          <w:szCs w:val="32"/>
        </w:rPr>
        <w:t>涉及少量轻微瑕疵等不引起消费者退货的问题;</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情节一般，扣20元/次:</w:t>
      </w:r>
      <w:r>
        <w:rPr>
          <w:rFonts w:ascii="仿宋" w:hAnsi="仿宋" w:eastAsia="仿宋" w:cs="宋体"/>
          <w:kern w:val="0"/>
          <w:sz w:val="32"/>
          <w:szCs w:val="32"/>
        </w:rPr>
        <w:t>涉及商品描述不符、功效夸大、质量不合格等引起消费者差评/投诉等的问题;</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情节严重，扣50元/次</w:t>
      </w:r>
      <w:r>
        <w:rPr>
          <w:rFonts w:ascii="仿宋" w:hAnsi="仿宋" w:eastAsia="仿宋" w:cs="宋体"/>
          <w:kern w:val="0"/>
          <w:sz w:val="32"/>
          <w:szCs w:val="32"/>
        </w:rPr>
        <w:t xml:space="preserve">: 商品严重货不对板(商品实物与网页宣称款式或品类完全不一致)，且商家不予处理； </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极其严重，扣200元/次：</w:t>
      </w:r>
      <w:r>
        <w:rPr>
          <w:rFonts w:ascii="仿宋" w:hAnsi="仿宋" w:eastAsia="仿宋" w:cs="宋体"/>
          <w:kern w:val="0"/>
          <w:sz w:val="32"/>
          <w:szCs w:val="32"/>
        </w:rPr>
        <w:t>涉及特殊材质虚假宣传,涉及危害人身安全等严重违规问题，按照虚假宣传标准处罚。</w:t>
      </w:r>
    </w:p>
    <w:p>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三、商品感官质量指标说明</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感官品质抽检项目包括但不限于下述明细表中所列举的内容，同时平台将会根据国家及行业相关规定不定期更新。</w:t>
      </w:r>
    </w:p>
    <w:tbl>
      <w:tblPr>
        <w:tblStyle w:val="6"/>
        <w:tblW w:w="0" w:type="auto"/>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autofit"/>
        <w:tblCellMar>
          <w:top w:w="15" w:type="dxa"/>
          <w:left w:w="15" w:type="dxa"/>
          <w:bottom w:w="15" w:type="dxa"/>
          <w:right w:w="15" w:type="dxa"/>
        </w:tblCellMar>
      </w:tblPr>
      <w:tblGrid>
        <w:gridCol w:w="1335"/>
        <w:gridCol w:w="1059"/>
        <w:gridCol w:w="1322"/>
        <w:gridCol w:w="2617"/>
        <w:gridCol w:w="2003"/>
      </w:tblGrid>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80" w:hRule="atLeast"/>
        </w:trPr>
        <w:tc>
          <w:tcPr>
            <w:tcW w:w="2085" w:type="dxa"/>
            <w:tcBorders>
              <w:top w:val="outset" w:color="auto" w:sz="6" w:space="0"/>
              <w:left w:val="outset" w:color="auto" w:sz="6" w:space="0"/>
              <w:bottom w:val="outset" w:color="auto" w:sz="6" w:space="0"/>
              <w:right w:val="outset" w:color="auto" w:sz="6" w:space="0"/>
            </w:tcBorders>
          </w:tcPr>
          <w:p>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品类</w:t>
            </w:r>
          </w:p>
        </w:tc>
        <w:tc>
          <w:tcPr>
            <w:tcW w:w="1500" w:type="dxa"/>
            <w:tcBorders>
              <w:top w:val="outset" w:color="auto" w:sz="6" w:space="0"/>
              <w:left w:val="outset" w:color="auto" w:sz="6" w:space="0"/>
              <w:bottom w:val="outset" w:color="auto" w:sz="6" w:space="0"/>
              <w:right w:val="outset" w:color="auto" w:sz="6" w:space="0"/>
            </w:tcBorders>
          </w:tcPr>
          <w:p>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一级指标</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二级指标</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2" w:firstLineChars="200"/>
              <w:jc w:val="left"/>
              <w:rPr>
                <w:rFonts w:ascii="仿宋" w:hAnsi="仿宋" w:eastAsia="仿宋" w:cs="宋体"/>
                <w:kern w:val="0"/>
                <w:szCs w:val="21"/>
              </w:rPr>
            </w:pPr>
            <w:r>
              <w:rPr>
                <w:rFonts w:ascii="仿宋" w:hAnsi="仿宋" w:eastAsia="仿宋" w:cs="宋体"/>
                <w:b/>
                <w:bCs/>
                <w:kern w:val="0"/>
                <w:szCs w:val="21"/>
              </w:rPr>
              <w:t>说明</w:t>
            </w:r>
          </w:p>
        </w:tc>
        <w:tc>
          <w:tcPr>
            <w:tcW w:w="349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标准要求</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95" w:hRule="atLeast"/>
        </w:trPr>
        <w:tc>
          <w:tcPr>
            <w:tcW w:w="208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一般品类(不涉及食品生鲜等特殊品类)</w:t>
            </w:r>
          </w:p>
        </w:tc>
        <w:tc>
          <w:tcPr>
            <w:tcW w:w="150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商品包装</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主要检查商品包装是否能保护商品</w:t>
            </w:r>
          </w:p>
        </w:tc>
        <w:tc>
          <w:tcPr>
            <w:tcW w:w="349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根据包装破损程度及对商品造成的破损程度进行扣款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4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商品信息描述</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款式符合性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商品外观和视频宣传与网页宣传图片一致性基本核对</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根据商品实物与网页宣传不符程度进行扣款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材质符合性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商品材质与网页宣传材质一致性核对</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颜色符合性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商品颜色与网页宣传颜色一致性核对</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品牌符合性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商品品牌与网页宣传品牌的一致性核对</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商品外观质量</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商品做工</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检查商品是否有明显瑕疵、做工质量问题</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根据做工缺陷等级/规格差异程度进行扣款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40"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商品规格尺寸</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商品实物测量规格尺寸是否与商品外包装标注规格尺寸存在差异</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8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功能/功效宣称</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判断商品功能(商品是否能正常使用)、功效(商品使用功效是否达到预期)</w:t>
            </w:r>
          </w:p>
        </w:tc>
        <w:tc>
          <w:tcPr>
            <w:tcW w:w="349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根据功能/功效使用体验对商品进行扣款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95" w:hRule="atLeast"/>
        </w:trPr>
        <w:tc>
          <w:tcPr>
            <w:tcW w:w="208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生鲜类</w:t>
            </w:r>
          </w:p>
        </w:tc>
        <w:tc>
          <w:tcPr>
            <w:tcW w:w="150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商品包装</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主要检查商品包装是否能保护商品</w:t>
            </w:r>
          </w:p>
        </w:tc>
        <w:tc>
          <w:tcPr>
            <w:tcW w:w="349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根据包装破损程度及对商品造成的破损程度进行扣款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9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商品描述</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款式符合性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商品外观和视频宣传与网页宣传图片一致性基本核对</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根据商品实物与网页宣传不符程度进行扣款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2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品牌符合性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商品品牌与网页宣传品牌的一致性核对</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2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规格</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核对实物商品规格（单果重、果径等）是否与网页宣传存在差异</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根据规格/净重差异程度进行扣款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5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净重</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核对实物商品净重（精确至0.1g)是否与网页宣传存在差异，宣传若未明确净重、毛重，均按净重计</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商品外观质量</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严重缺陷</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对商品腐烂、发霉、变质等情况进行判定</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根据实物缺陷严重程度进行扣款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一般缺陷</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对商品磕碰伤、冻伤、病虫害等进行判定</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轻微缺陷</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对商品锈斑、干皮、干伤等进行判定</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95" w:hRule="atLeast"/>
        </w:trPr>
        <w:tc>
          <w:tcPr>
            <w:tcW w:w="208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食品饮料、酒水类</w:t>
            </w:r>
          </w:p>
        </w:tc>
        <w:tc>
          <w:tcPr>
            <w:tcW w:w="150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商品包装</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主要检查商品包装是否能保护商品</w:t>
            </w:r>
          </w:p>
        </w:tc>
        <w:tc>
          <w:tcPr>
            <w:tcW w:w="349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根据包装破损程度及对商品造成的破损程度进行扣款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9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商品描述</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款式符合性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商品外观和视频宣传与网页宣传图片一致性基本核对</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根据商品实物与网页宣传不符程度进行扣款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品牌符合性</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商品品牌与网页宣传品牌的一致性核对</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09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规格</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核对实物商品数量/规格是否与网页宣传存在差异</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根据规格/净重差异程度进行扣款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45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净重</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核对实物商品净重是否与网页宣传存在差异，按照JJF 1070-2005《定量包装商品净含量计量检验规则》的短缺量要求进行判定</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1500"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商品外观质量</w:t>
            </w: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缺陷—外界污染</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对商品漏液、异物等情况进行判定</w:t>
            </w:r>
          </w:p>
        </w:tc>
        <w:tc>
          <w:tcPr>
            <w:tcW w:w="3495" w:type="dxa"/>
            <w:vMerge w:val="restart"/>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根据实物缺陷严重程度进行扣款</w:t>
            </w: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735"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缺陷—内在品质</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对商品变质、发霉、异味等进行判定</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r>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1148" w:hRule="atLeast"/>
        </w:trPr>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c>
          <w:tcPr>
            <w:tcW w:w="2055"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缺陷—保质期</w:t>
            </w:r>
          </w:p>
        </w:tc>
        <w:tc>
          <w:tcPr>
            <w:tcW w:w="4440" w:type="dxa"/>
            <w:tcBorders>
              <w:top w:val="outset" w:color="auto" w:sz="6" w:space="0"/>
              <w:left w:val="outset" w:color="auto" w:sz="6" w:space="0"/>
              <w:bottom w:val="outset" w:color="auto" w:sz="6" w:space="0"/>
              <w:right w:val="outset" w:color="auto" w:sz="6" w:space="0"/>
            </w:tcBorders>
          </w:tcPr>
          <w:p>
            <w:pPr>
              <w:widowControl/>
              <w:spacing w:line="620" w:lineRule="exact"/>
              <w:ind w:firstLine="420" w:firstLineChars="200"/>
              <w:jc w:val="left"/>
              <w:rPr>
                <w:rFonts w:ascii="仿宋" w:hAnsi="仿宋" w:eastAsia="仿宋" w:cs="宋体"/>
                <w:kern w:val="0"/>
                <w:szCs w:val="21"/>
              </w:rPr>
            </w:pPr>
            <w:r>
              <w:rPr>
                <w:rFonts w:ascii="仿宋" w:hAnsi="仿宋" w:eastAsia="仿宋" w:cs="宋体"/>
                <w:kern w:val="0"/>
                <w:szCs w:val="21"/>
              </w:rPr>
              <w:t>核实商品保质期是否符合国产未超过1/3，进口未超过1/2要求</w:t>
            </w:r>
          </w:p>
        </w:tc>
        <w:tc>
          <w:tcPr>
            <w:tcW w:w="0" w:type="auto"/>
            <w:vMerge w:val="continue"/>
            <w:tcBorders>
              <w:top w:val="outset" w:color="auto" w:sz="6" w:space="0"/>
              <w:left w:val="outset" w:color="auto" w:sz="6" w:space="0"/>
              <w:bottom w:val="outset" w:color="auto" w:sz="6" w:space="0"/>
              <w:right w:val="outset" w:color="auto" w:sz="6" w:space="0"/>
            </w:tcBorders>
            <w:vAlign w:val="center"/>
          </w:tcPr>
          <w:p>
            <w:pPr>
              <w:widowControl/>
              <w:spacing w:line="620" w:lineRule="exact"/>
              <w:ind w:firstLine="420" w:firstLineChars="200"/>
              <w:jc w:val="left"/>
              <w:rPr>
                <w:rFonts w:ascii="仿宋" w:hAnsi="仿宋" w:eastAsia="仿宋" w:cs="宋体"/>
                <w:kern w:val="0"/>
                <w:szCs w:val="21"/>
              </w:rPr>
            </w:pPr>
          </w:p>
        </w:tc>
      </w:tr>
    </w:tbl>
    <w:p>
      <w:pPr>
        <w:spacing w:line="620" w:lineRule="exact"/>
        <w:ind w:firstLine="420" w:firstLineChars="200"/>
        <w:rPr>
          <w:rFonts w:ascii="仿宋" w:hAnsi="仿宋" w:eastAsia="仿宋"/>
          <w:szCs w:val="21"/>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PowerPlusWaterMarkObject23752" o:spid="_x0000_s2049"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356892"/>
    <w:multiLevelType w:val="multilevel"/>
    <w:tmpl w:val="6D35689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F91DAF"/>
    <w:rsid w:val="00252759"/>
    <w:rsid w:val="00765788"/>
    <w:rsid w:val="00813BDD"/>
    <w:rsid w:val="00F91DAF"/>
    <w:rsid w:val="28812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2 字符"/>
    <w:basedOn w:val="7"/>
    <w:link w:val="2"/>
    <w:uiPriority w:val="9"/>
    <w:rPr>
      <w:rFonts w:ascii="宋体" w:hAnsi="宋体" w:eastAsia="宋体" w:cs="宋体"/>
      <w:b/>
      <w:bCs/>
      <w:kern w:val="0"/>
      <w:sz w:val="36"/>
      <w:szCs w:val="36"/>
    </w:rPr>
  </w:style>
  <w:style w:type="character" w:customStyle="1" w:styleId="10">
    <w:name w:val="color_font"/>
    <w:basedOn w:val="7"/>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259</Words>
  <Characters>1481</Characters>
  <Lines>12</Lines>
  <Paragraphs>3</Paragraphs>
  <TotalTime>0</TotalTime>
  <ScaleCrop>false</ScaleCrop>
  <LinksUpToDate>false</LinksUpToDate>
  <CharactersWithSpaces>1737</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2023-06-05T07:11:00Z</dcterms:created>
  <dc:creator>xiaoyanhong</dc:creator>
  <cp:lastModifiedBy>SVIP</cp:lastModifiedBy>
  <dcterms:modified xsi:type="dcterms:W3CDTF">2023-08-07T03:58:34Z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9F17D1F948D147D7967A7D8747C30450_12</vt:lpwstr>
  </property>
</Properties>
</file>