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4B888">
      <w:pPr>
        <w:pStyle w:val="3"/>
        <w:keepNext w:val="0"/>
        <w:keepLines w:val="0"/>
        <w:pageBreakBefore w:val="0"/>
        <w:widowControl/>
        <w:kinsoku/>
        <w:wordWrap/>
        <w:overflowPunct/>
        <w:topLinePunct w:val="0"/>
        <w:autoSpaceDE/>
        <w:autoSpaceDN/>
        <w:bidi w:val="0"/>
        <w:adjustRightInd/>
        <w:snapToGrid/>
        <w:ind w:firstLine="880" w:firstLineChars="200"/>
        <w:jc w:val="center"/>
        <w:textAlignment w:val="baseline"/>
        <w:rPr>
          <w:rFonts w:hint="default" w:eastAsia="微软雅黑"/>
          <w:b w:val="0"/>
          <w:bCs/>
          <w:sz w:val="21"/>
          <w:szCs w:val="21"/>
          <w:shd w:val="clear" w:color="auto" w:fill="auto"/>
          <w:lang w:val="en-US" w:eastAsia="zh-CN"/>
        </w:rPr>
      </w:pPr>
      <w:r>
        <w:rPr>
          <w:rFonts w:hint="eastAsia" w:ascii="黑体" w:hAnsi="黑体" w:eastAsia="黑体" w:cs="黑体"/>
          <w:b w:val="0"/>
          <w:bCs/>
          <w:sz w:val="44"/>
          <w:szCs w:val="44"/>
          <w:shd w:val="clear" w:color="auto" w:fill="auto"/>
          <w:lang w:val="en-US" w:eastAsia="zh-CN"/>
        </w:rPr>
        <w:t>资质不合规细则</w:t>
      </w:r>
    </w:p>
    <w:p w14:paraId="283C5DD7">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b w:val="0"/>
          <w:bCs/>
          <w:sz w:val="21"/>
          <w:szCs w:val="21"/>
          <w:shd w:val="clear" w:color="auto" w:fill="auto"/>
        </w:rPr>
      </w:pPr>
      <w:r>
        <w:rPr>
          <w:rFonts w:hint="eastAsia" w:ascii="黑体" w:hAnsi="黑体" w:eastAsia="黑体" w:cs="黑体"/>
          <w:b/>
          <w:bCs w:val="0"/>
          <w:sz w:val="21"/>
          <w:szCs w:val="21"/>
          <w:shd w:val="clear" w:color="auto" w:fill="auto"/>
        </w:rPr>
        <w:t>一、什么是资质不合规？</w:t>
      </w:r>
    </w:p>
    <w:p w14:paraId="1ED50711">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指商家未按照邮乐规定向邮乐提供合规的资质以及真实的材料的行为。</w:t>
      </w:r>
    </w:p>
    <w:p w14:paraId="1D0993F9">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黑体" w:hAnsi="黑体" w:eastAsia="黑体" w:cs="黑体"/>
          <w:b/>
          <w:bCs/>
          <w:i w:val="0"/>
          <w:iCs w:val="0"/>
          <w:caps w:val="0"/>
          <w:color w:val="666666"/>
          <w:spacing w:val="0"/>
          <w:kern w:val="0"/>
          <w:sz w:val="21"/>
          <w:szCs w:val="21"/>
          <w:shd w:val="clear" w:fill="FFFFFF"/>
          <w:lang w:val="en-US" w:eastAsia="zh-CN" w:bidi="ar"/>
        </w:rPr>
        <w:t>二、资质不合规包含哪些行为？</w:t>
      </w:r>
    </w:p>
    <w:p w14:paraId="7E4FEC44">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（一）商家不配合或未及时提交/到期前更新符合平台规则的合规资质文件。</w:t>
      </w:r>
    </w:p>
    <w:p w14:paraId="2332044F">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1.主体资质：是指经营活动的主体本身依照法律或专业规范应当具备的资质，如营业执照、身份证、银行账户信息等；</w:t>
      </w:r>
    </w:p>
    <w:p w14:paraId="44D4C164">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2.品牌资质：是指与品牌相关的商标文件、授权文件等资质材料；</w:t>
      </w:r>
    </w:p>
    <w:p w14:paraId="7C5538F6">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3.类目资质：是指商家经营该行业类目商品必须拥有的资质内容，如食品经营许可证、食品生产许可证、化妆品生产许可证、医疗器械备案号/注册证号、化妆品备案号/批准文号、3C认证证书等。</w:t>
      </w:r>
    </w:p>
    <w:p w14:paraId="2F1D9051">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（二）商家提供伪造、变造、盗用营业执照/商标/专利证书或其他资质文件，包含但不限于：</w:t>
      </w:r>
    </w:p>
    <w:p w14:paraId="301B00FA">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1.商家在入驻时，提供提供虚假资质材料，如主体资质、品牌资质、行业资质、商品资质等；</w:t>
      </w:r>
    </w:p>
    <w:p w14:paraId="1E907C29">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2.商家在经营过程中，提供虚假资质材料，如进货凭证、授权证明、被权利人投诉品牌资质无效等；</w:t>
      </w:r>
    </w:p>
    <w:p w14:paraId="5C247EA7">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3.商家在举报、报备和申诉环节提供虚假材料，误导审核人员等，如物流凭证、聊天记录等。</w:t>
      </w:r>
    </w:p>
    <w:p w14:paraId="23BBF8E4">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（三）商家发布不具备经营权的商品，以及发布超范围经营的商品，并且不能提交对应经营资质，包括但不限于：</w:t>
      </w:r>
    </w:p>
    <w:p w14:paraId="0F9D039A">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1.商家发布销售超出营业执照/特殊行业经营许可经营范围的商品；</w:t>
      </w:r>
    </w:p>
    <w:p w14:paraId="5F2778E4">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2.商家在某品牌下销售超品牌商标经营类别商品。</w:t>
      </w:r>
    </w:p>
    <w:p w14:paraId="69A44AB9">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黑体" w:hAnsi="黑体" w:eastAsia="黑体" w:cs="黑体"/>
          <w:b/>
          <w:bCs w:val="0"/>
          <w:sz w:val="21"/>
          <w:szCs w:val="21"/>
          <w:shd w:val="clear" w:color="auto" w:fill="auto"/>
          <w:lang w:val="en-US" w:eastAsia="zh-CN"/>
        </w:rPr>
        <w:t>三、资质不合规，会给予整改期吗？</w:t>
      </w:r>
    </w:p>
    <w:p w14:paraId="4AE74D08">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针对资质过期、变更、无效、撤销等情况，商家需要自检自查及时更新，或在接到平台通知后的规定时间内按要求重新提交或补充相关资质材料，若超时未更新，将会给予相应的处理措施。</w:t>
      </w:r>
    </w:p>
    <w:p w14:paraId="7629E90D">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黑体" w:hAnsi="黑体" w:eastAsia="黑体" w:cs="黑体"/>
          <w:b/>
          <w:bCs w:val="0"/>
          <w:sz w:val="21"/>
          <w:szCs w:val="21"/>
          <w:shd w:val="clear" w:color="auto" w:fill="auto"/>
          <w:lang w:val="en-US" w:eastAsia="zh-CN"/>
        </w:rPr>
        <w:t>四、“过期资质”、“虚假资质”、“超范围经营”如何认定？</w:t>
      </w:r>
    </w:p>
    <w:p w14:paraId="5B9BA13B">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（一）“过期资质”</w:t>
      </w:r>
    </w:p>
    <w:p w14:paraId="65E3301A">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1.经平台核实营业执照、商标证、品牌授权等其他资质材料过期或未及时办理延期的。</w:t>
      </w:r>
    </w:p>
    <w:p w14:paraId="690E4CF6">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（二）“虚假资质”</w:t>
      </w:r>
    </w:p>
    <w:p w14:paraId="5FCE941F">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1.招商入驻及经营过程中提供虚假资质证明：</w:t>
      </w:r>
    </w:p>
    <w:p w14:paraId="040DA78D">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（1）企业资质造假（如：企业营业资质造假、一般纳税人资质造假）；</w:t>
      </w:r>
    </w:p>
    <w:p w14:paraId="68164DEB">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（2）品牌资质造假（如：品牌授权书造假、品牌商标注册证造假）；</w:t>
      </w:r>
    </w:p>
    <w:p w14:paraId="1A3381BC">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（3）特殊行业经营许可资质造假（如：食品经营许可证造假、图书经营许可证造假）；</w:t>
      </w:r>
    </w:p>
    <w:p w14:paraId="57000EDE">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（4）其他商品资质造假。</w:t>
      </w:r>
    </w:p>
    <w:p w14:paraId="10AB7B0F">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2.商家在违规申诉过程中提供虚假凭证：</w:t>
      </w:r>
    </w:p>
    <w:p w14:paraId="0467C469">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（1）商家证明材料系伪造、变造的；</w:t>
      </w:r>
    </w:p>
    <w:p w14:paraId="0EF02F40">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（2）通过购买证明材料作出虚假证明的。如：购买发票虚假证明进货事实；</w:t>
      </w:r>
    </w:p>
    <w:p w14:paraId="7F8C01E4">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基于对证明材料的合理怀疑，平台将通知商家进一步对该证明材料的真实性、合法性补充自证或作出合理解释，商家未在平台规定的合理时间内予以提供证明或作出合理解释的，该证明材料将被认定为“虚假”。</w:t>
      </w:r>
    </w:p>
    <w:p w14:paraId="0F6F4597">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3.其他经营过程中可能出现的提供虚假材料等情况。</w:t>
      </w:r>
    </w:p>
    <w:p w14:paraId="1224C192">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（三）“超范围经营”</w:t>
      </w:r>
    </w:p>
    <w:p w14:paraId="4F499580">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商家营业执照/特殊行业经营许可证无效、超出营业执照/特殊行业经营许可经营范围；</w:t>
      </w:r>
    </w:p>
    <w:p w14:paraId="50529D26">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注：特殊行业经营许可证是指《食品经营许可证》、《食品生产许可证》、《出版物经营许可证》以及其他证明企业合法经营的有效证件。</w:t>
      </w:r>
    </w:p>
    <w:p w14:paraId="2C67C61E">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品牌商标证超商标注册类别经营。</w:t>
      </w:r>
    </w:p>
    <w:p w14:paraId="678A19B3">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rFonts w:hint="default" w:ascii="仿宋" w:hAnsi="仿宋" w:eastAsia="仿宋" w:cs="仿宋"/>
          <w:b w:val="0"/>
          <w:i w:val="0"/>
          <w:iCs w:val="0"/>
          <w:caps w:val="0"/>
          <w:color w:val="666666"/>
          <w:spacing w:val="0"/>
          <w:kern w:val="0"/>
          <w:sz w:val="21"/>
          <w:szCs w:val="21"/>
          <w:shd w:val="clear" w:fill="FFFFFF"/>
          <w:lang w:val="en-US" w:eastAsia="zh-CN" w:bidi="ar"/>
        </w:rPr>
      </w:pPr>
      <w:r>
        <w:rPr>
          <w:rFonts w:hint="eastAsia" w:ascii="黑体" w:hAnsi="黑体" w:eastAsia="黑体" w:cs="黑体"/>
          <w:b/>
          <w:bCs/>
          <w:i w:val="0"/>
          <w:iCs w:val="0"/>
          <w:caps w:val="0"/>
          <w:color w:val="666666"/>
          <w:spacing w:val="0"/>
          <w:kern w:val="0"/>
          <w:sz w:val="21"/>
          <w:szCs w:val="21"/>
          <w:shd w:val="clear" w:fill="FFFFFF"/>
          <w:lang w:val="en-US" w:eastAsia="zh-CN" w:bidi="ar"/>
        </w:rPr>
        <w:t>五、违规程度描述</w:t>
      </w:r>
    </w:p>
    <w:p w14:paraId="1C6E1864">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（一）不配合提交材料或材料不合格</w:t>
      </w:r>
    </w:p>
    <w:p w14:paraId="4190D942">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1.一般违规：</w:t>
      </w:r>
    </w:p>
    <w:p w14:paraId="7E1124F3">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（1）主体资质：法人信息不一致、营业执照过期、营业执照信息不一致、营业执照模糊；</w:t>
      </w:r>
    </w:p>
    <w:p w14:paraId="2305FA9B">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（2）分类资质：分类资质过期、分类资质信息不一致、有效期信息填写不一致；</w:t>
      </w:r>
    </w:p>
    <w:p w14:paraId="1D61921E">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（3）品牌资质：商标注册证过期、商标注册证有效期与系统有效期不符、授权有效期过期、授权有效期填写不一致、未上传商标注册证、授权链路不完整、授权渠道不涵盖、未上传授权。</w:t>
      </w:r>
    </w:p>
    <w:p w14:paraId="03BF8A50">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（二）不具备该类目经营权</w:t>
      </w:r>
    </w:p>
    <w:p w14:paraId="760FFD83">
      <w:pPr>
        <w:pStyle w:val="5"/>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1.严重违规：</w:t>
      </w:r>
    </w:p>
    <w:p w14:paraId="1D116132">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主体资质：商家营业执照超范围经营（未向工商申请/备案经营类目）；</w:t>
      </w:r>
    </w:p>
    <w:p w14:paraId="69DF7BF2">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分类资质：类目资质不齐全、未上传资质。</w:t>
      </w:r>
    </w:p>
    <w:p w14:paraId="3D92223F">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（三）提供虚假材料或信息</w:t>
      </w:r>
    </w:p>
    <w:p w14:paraId="57BC3B89">
      <w:pPr>
        <w:pStyle w:val="5"/>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严重违规：</w:t>
      </w:r>
    </w:p>
    <w:p w14:paraId="4FAC86DC">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主体资质：造假主体资质中营业执照、法人身份证、开户许可证等文件；</w:t>
      </w:r>
    </w:p>
    <w:p w14:paraId="64C2276F">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分类资质：造假分类资质中行政许可、检验检疫证明等文件；</w:t>
      </w:r>
    </w:p>
    <w:p w14:paraId="2CC05497">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品牌资质：造假品牌资质中商标、授权等文件。</w:t>
      </w:r>
    </w:p>
    <w:p w14:paraId="6662357B">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（四）其他</w:t>
      </w:r>
    </w:p>
    <w:p w14:paraId="15DC3819">
      <w:pPr>
        <w:pStyle w:val="5"/>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商家因不具备该类目经营权或者提供虚假材料或信息致使消费者受到损失或者引发相关风险的；出现负面监管风险、 舆情事件的或者提供虚假凭证致使平台受到损失或者引发相关风险；平台核实属实的都属于严重违规，平台将对商家按规则执行顶格处理；</w:t>
      </w:r>
    </w:p>
    <w:p w14:paraId="712EEBF2">
      <w:pPr>
        <w:pStyle w:val="5"/>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若商家同时存在多种违规场景，平台将严重程度最高级处理；</w:t>
      </w:r>
    </w:p>
    <w:p w14:paraId="50BBC5DE">
      <w:pPr>
        <w:pStyle w:val="5"/>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关于违规次数的说明：</w:t>
      </w:r>
    </w:p>
    <w:p w14:paraId="5FB65491">
      <w:pPr>
        <w:pStyle w:val="5"/>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一般违规最多可触发3次，管控强度随违规次数提升，无时效的限制分类/品牌和商品—有时效的限制分类/品牌和商品—永久关闭分类/品牌和商品；</w:t>
      </w:r>
    </w:p>
    <w:p w14:paraId="2CCB48A9">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严重违规最多可触发3次，管控强度随违规次数提升，有时效的限制分类/品牌和商品—永久关闭分类/品牌和商品—商家清退。</w:t>
      </w:r>
    </w:p>
    <w:p w14:paraId="696769CA">
      <w:pPr>
        <w:pStyle w:val="3"/>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黑体" w:hAnsi="黑体" w:eastAsia="黑体" w:cs="黑体"/>
          <w:b/>
          <w:bCs/>
          <w:i w:val="0"/>
          <w:iCs w:val="0"/>
          <w:caps w:val="0"/>
          <w:color w:val="666666"/>
          <w:spacing w:val="0"/>
          <w:kern w:val="0"/>
          <w:sz w:val="21"/>
          <w:szCs w:val="21"/>
          <w:shd w:val="clear" w:fill="FFFFFF"/>
          <w:lang w:val="en-US" w:eastAsia="zh-CN" w:bidi="ar"/>
        </w:rPr>
        <w:t>六、违规处理</w:t>
      </w:r>
    </w:p>
    <w:p w14:paraId="78C65FFE">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（一）不配合提交材料或材料不合格</w:t>
      </w:r>
    </w:p>
    <w:p w14:paraId="5C280B12">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主体资质：</w:t>
      </w:r>
    </w:p>
    <w:p w14:paraId="21F4DFF0">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一般违规—权限冻结（仅可更新主体资质），无时效限制，审核通过后解冻，恢复正常运营；</w:t>
      </w:r>
    </w:p>
    <w:p w14:paraId="24985048">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分类资质/品牌资质：</w:t>
      </w:r>
    </w:p>
    <w:p w14:paraId="0B8A4FD2">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一般违规—第一次：下架相关问题商品/失效相关问题</w:t>
      </w:r>
      <w:r>
        <w:rPr>
          <w:rFonts w:hint="eastAsia" w:ascii="仿宋" w:hAnsi="仿宋" w:eastAsia="仿宋" w:cs="仿宋"/>
          <w:b w:val="0"/>
          <w:i w:val="0"/>
          <w:iCs w:val="0"/>
          <w:caps w:val="0"/>
          <w:color w:val="666666"/>
          <w:spacing w:val="0"/>
          <w:kern w:val="0"/>
          <w:sz w:val="21"/>
          <w:szCs w:val="21"/>
          <w:shd w:val="clear" w:fill="FFFFFF"/>
          <w:lang w:val="en-US" w:eastAsia="zh-CN" w:bidi="ar"/>
        </w:rPr>
        <w:t>品牌</w:t>
      </w:r>
      <w:bookmarkStart w:id="0" w:name="_GoBack"/>
      <w:bookmarkEnd w:id="0"/>
      <w:r>
        <w:rPr>
          <w:rFonts w:ascii="仿宋" w:hAnsi="仿宋" w:eastAsia="仿宋" w:cs="仿宋"/>
          <w:b w:val="0"/>
          <w:i w:val="0"/>
          <w:iCs w:val="0"/>
          <w:caps w:val="0"/>
          <w:color w:val="666666"/>
          <w:spacing w:val="0"/>
          <w:kern w:val="0"/>
          <w:sz w:val="21"/>
          <w:szCs w:val="21"/>
          <w:shd w:val="clear" w:fill="FFFFFF"/>
          <w:lang w:val="en-US" w:eastAsia="zh-CN" w:bidi="ar"/>
        </w:rPr>
        <w:t>/分类（无管控时限），商家补齐品牌/分类资质，审核通过后品牌/分类解冻，恢复正常运营；</w:t>
      </w:r>
    </w:p>
    <w:p w14:paraId="573CE1AD">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一般违规—第二次：下架相关问题商品7天、失效相关问题分类/品牌7天，商家补齐品牌/分类资质，审核通过后品牌/分类解冻，恢复正常运营；</w:t>
      </w:r>
    </w:p>
    <w:p w14:paraId="3BE76936">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一般违规—第三次：永久下架相关问题商品、永久失效相关问题分类/品牌</w:t>
      </w:r>
    </w:p>
    <w:p w14:paraId="2189E0DB">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（二）不具备该类目经营权</w:t>
      </w:r>
    </w:p>
    <w:p w14:paraId="61FE9625">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主体资质/分类资质</w:t>
      </w:r>
    </w:p>
    <w:p w14:paraId="6544F41E">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严重违规—第一次：下架相关问题商品7天、失效相关问题分类/品牌7天，商家补齐品牌/分类资质，审核通过后品牌/分类解冻，恢复正常运营；</w:t>
      </w:r>
    </w:p>
    <w:p w14:paraId="61F66F40">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严重违规—第二次：永久下架相关问题商品、永久失效相关问题品牌/分类、并扣罚违约金1000元;</w:t>
      </w:r>
    </w:p>
    <w:p w14:paraId="7779F369">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严重违规—第三次：执行商家清退</w:t>
      </w:r>
    </w:p>
    <w:p w14:paraId="072B8EDF">
      <w:pPr>
        <w:pStyle w:val="4"/>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ascii="仿宋" w:hAnsi="仿宋" w:eastAsia="仿宋" w:cs="仿宋"/>
          <w:b w:val="0"/>
          <w:i w:val="0"/>
          <w:iCs w:val="0"/>
          <w:caps w:val="0"/>
          <w:color w:val="666666"/>
          <w:spacing w:val="0"/>
          <w:kern w:val="0"/>
          <w:sz w:val="21"/>
          <w:szCs w:val="21"/>
          <w:shd w:val="clear" w:fill="FFFFFF"/>
          <w:lang w:val="en-US" w:eastAsia="zh-CN" w:bidi="ar"/>
        </w:rPr>
        <w:t>（三）提供虚假材料或信息</w:t>
      </w:r>
    </w:p>
    <w:p w14:paraId="209E138E">
      <w:pPr>
        <w:pStyle w:val="6"/>
        <w:keepNext w:val="0"/>
        <w:keepLines w:val="0"/>
        <w:pageBreakBefore w:val="0"/>
        <w:widowControl/>
        <w:numPr>
          <w:ilvl w:val="0"/>
          <w:numId w:val="0"/>
        </w:numPr>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主体资质/分类资质/品牌资质</w:t>
      </w:r>
    </w:p>
    <w:p w14:paraId="5667D058">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（1）</w:t>
      </w:r>
      <w:r>
        <w:rPr>
          <w:rFonts w:ascii="仿宋" w:hAnsi="仿宋" w:eastAsia="仿宋" w:cs="仿宋"/>
          <w:b w:val="0"/>
          <w:i w:val="0"/>
          <w:iCs w:val="0"/>
          <w:caps w:val="0"/>
          <w:color w:val="666666"/>
          <w:spacing w:val="0"/>
          <w:kern w:val="0"/>
          <w:sz w:val="21"/>
          <w:szCs w:val="21"/>
          <w:shd w:val="clear" w:fill="FFFFFF"/>
          <w:lang w:val="en-US" w:eastAsia="zh-CN" w:bidi="ar"/>
        </w:rPr>
        <w:t>严重违规—第一次：下架相关问题商品7天、失效相关问题分类/品牌7天，商家补齐品牌/分类资质，审核通过后品牌/分类解冻，恢复正常运营；</w:t>
      </w:r>
    </w:p>
    <w:p w14:paraId="10F74801">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rFonts w:ascii="仿宋" w:hAnsi="仿宋" w:eastAsia="仿宋" w:cs="仿宋"/>
          <w:b w:val="0"/>
          <w:i w:val="0"/>
          <w:iCs w:val="0"/>
          <w:caps w:val="0"/>
          <w:color w:val="666666"/>
          <w:spacing w:val="0"/>
          <w:kern w:val="0"/>
          <w:sz w:val="21"/>
          <w:szCs w:val="21"/>
          <w:shd w:val="clear" w:fill="FFFFFF"/>
          <w:lang w:val="en-US" w:eastAsia="zh-CN" w:bidi="ar"/>
        </w:rPr>
      </w:pPr>
      <w:r>
        <w:rPr>
          <w:rFonts w:hint="eastAsia" w:ascii="仿宋" w:hAnsi="仿宋" w:eastAsia="仿宋" w:cs="仿宋"/>
          <w:b w:val="0"/>
          <w:i w:val="0"/>
          <w:iCs w:val="0"/>
          <w:caps w:val="0"/>
          <w:color w:val="666666"/>
          <w:spacing w:val="0"/>
          <w:kern w:val="0"/>
          <w:sz w:val="21"/>
          <w:szCs w:val="21"/>
          <w:shd w:val="clear" w:fill="FFFFFF"/>
          <w:lang w:val="en-US" w:eastAsia="zh-CN" w:bidi="ar"/>
        </w:rPr>
        <w:t>（2）</w:t>
      </w:r>
      <w:r>
        <w:rPr>
          <w:rFonts w:ascii="仿宋" w:hAnsi="仿宋" w:eastAsia="仿宋" w:cs="仿宋"/>
          <w:b w:val="0"/>
          <w:i w:val="0"/>
          <w:iCs w:val="0"/>
          <w:caps w:val="0"/>
          <w:color w:val="666666"/>
          <w:spacing w:val="0"/>
          <w:kern w:val="0"/>
          <w:sz w:val="21"/>
          <w:szCs w:val="21"/>
          <w:shd w:val="clear" w:fill="FFFFFF"/>
          <w:lang w:val="en-US" w:eastAsia="zh-CN" w:bidi="ar"/>
        </w:rPr>
        <w:t>严重违规—第二次：永久下架相关问题商品、永久失效相关问题品牌/分类、并扣罚违约金1000元;</w:t>
      </w:r>
    </w:p>
    <w:p w14:paraId="03F39DD9">
      <w:pPr>
        <w:pStyle w:val="6"/>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baseline"/>
        <w:rPr>
          <w:b w:val="0"/>
          <w:bCs/>
          <w:sz w:val="28"/>
          <w:szCs w:val="28"/>
          <w:shd w:val="clear" w:color="auto" w:fill="auto"/>
        </w:rPr>
      </w:pPr>
      <w:r>
        <w:rPr>
          <w:rFonts w:hint="eastAsia" w:ascii="仿宋" w:hAnsi="仿宋" w:eastAsia="仿宋" w:cs="仿宋"/>
          <w:b w:val="0"/>
          <w:i w:val="0"/>
          <w:iCs w:val="0"/>
          <w:caps w:val="0"/>
          <w:color w:val="666666"/>
          <w:spacing w:val="0"/>
          <w:kern w:val="0"/>
          <w:sz w:val="21"/>
          <w:szCs w:val="21"/>
          <w:shd w:val="clear" w:fill="FFFFFF"/>
          <w:lang w:val="en-US" w:eastAsia="zh-CN" w:bidi="ar"/>
        </w:rPr>
        <w:t>（3）</w:t>
      </w:r>
      <w:r>
        <w:rPr>
          <w:rFonts w:ascii="仿宋" w:hAnsi="仿宋" w:eastAsia="仿宋" w:cs="仿宋"/>
          <w:b w:val="0"/>
          <w:i w:val="0"/>
          <w:iCs w:val="0"/>
          <w:caps w:val="0"/>
          <w:color w:val="666666"/>
          <w:spacing w:val="0"/>
          <w:kern w:val="0"/>
          <w:sz w:val="21"/>
          <w:szCs w:val="21"/>
          <w:shd w:val="clear" w:fill="FFFFFF"/>
          <w:lang w:val="en-US" w:eastAsia="zh-CN" w:bidi="ar"/>
        </w:rPr>
        <w:t> 严重违规—第三次：执行商家清退</w:t>
      </w:r>
    </w:p>
    <w:sectPr>
      <w:pgSz w:w="11906" w:h="16838"/>
      <w:pgMar w:top="1440" w:right="1803" w:bottom="1440" w:left="1803" w:header="13" w:footer="13" w:gutter="0"/>
      <w:cols w:space="0" w:num="1"/>
      <w:docGrid w:type="lines" w:linePitch="2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8000000" w:usb3="00000000" w:csb0="0000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000001"/>
    <w:multiLevelType w:val="singleLevel"/>
    <w:tmpl w:val="20000001"/>
    <w:lvl w:ilvl="0" w:tentative="0">
      <w:start w:val="1"/>
      <w:numFmt w:val="decimal"/>
      <w:pStyle w:val="18"/>
      <w:suff w:val="space"/>
      <w:lvlText w:val="%1 "/>
      <w:lvlJc w:val="right"/>
      <w:rPr>
        <w:rFonts w:ascii="微软雅黑" w:hAnsi="微软雅黑" w:eastAsia="微软雅黑" w:cs="微软雅黑"/>
        <w:color w:val="C0C6CF"/>
        <w:sz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430E3B"/>
    <w:rsid w:val="20B638E7"/>
    <w:rsid w:val="5A130056"/>
    <w:rsid w:val="661C19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extAlignment w:val="baseline"/>
    </w:pPr>
    <w:rPr>
      <w:rFonts w:ascii="微软雅黑" w:hAnsi="微软雅黑" w:eastAsia="微软雅黑" w:cs="微软雅黑"/>
      <w:color w:val="080F17"/>
      <w:sz w:val="22"/>
    </w:rPr>
  </w:style>
  <w:style w:type="paragraph" w:styleId="2">
    <w:name w:val="heading 1"/>
    <w:basedOn w:val="1"/>
    <w:qFormat/>
    <w:uiPriority w:val="0"/>
    <w:pPr>
      <w:spacing w:before="390" w:after="120" w:line="634" w:lineRule="exact"/>
      <w:outlineLvl w:val="0"/>
    </w:pPr>
    <w:rPr>
      <w:b/>
      <w:sz w:val="38"/>
    </w:rPr>
  </w:style>
  <w:style w:type="paragraph" w:styleId="3">
    <w:name w:val="heading 2"/>
    <w:basedOn w:val="1"/>
    <w:qFormat/>
    <w:uiPriority w:val="0"/>
    <w:pPr>
      <w:spacing w:before="330" w:after="120" w:line="536" w:lineRule="exact"/>
      <w:outlineLvl w:val="1"/>
    </w:pPr>
    <w:rPr>
      <w:b/>
      <w:sz w:val="32"/>
    </w:rPr>
  </w:style>
  <w:style w:type="paragraph" w:styleId="4">
    <w:name w:val="heading 3"/>
    <w:basedOn w:val="1"/>
    <w:qFormat/>
    <w:uiPriority w:val="0"/>
    <w:pPr>
      <w:spacing w:before="300" w:after="120" w:line="488" w:lineRule="exact"/>
      <w:outlineLvl w:val="2"/>
    </w:pPr>
    <w:rPr>
      <w:b/>
      <w:sz w:val="30"/>
    </w:rPr>
  </w:style>
  <w:style w:type="paragraph" w:styleId="5">
    <w:name w:val="heading 4"/>
    <w:basedOn w:val="1"/>
    <w:qFormat/>
    <w:uiPriority w:val="0"/>
    <w:pPr>
      <w:spacing w:before="270" w:after="120" w:line="439" w:lineRule="exact"/>
      <w:outlineLvl w:val="3"/>
    </w:pPr>
    <w:rPr>
      <w:b/>
      <w:sz w:val="26"/>
    </w:rPr>
  </w:style>
  <w:style w:type="paragraph" w:styleId="6">
    <w:name w:val="heading 5"/>
    <w:basedOn w:val="1"/>
    <w:qFormat/>
    <w:uiPriority w:val="0"/>
    <w:pPr>
      <w:spacing w:before="240" w:after="120" w:line="390" w:lineRule="exact"/>
      <w:outlineLvl w:val="4"/>
    </w:pPr>
    <w:rPr>
      <w:b/>
      <w:sz w:val="22"/>
    </w:rPr>
  </w:style>
  <w:style w:type="paragraph" w:styleId="7">
    <w:name w:val="heading 6"/>
    <w:basedOn w:val="1"/>
    <w:qFormat/>
    <w:uiPriority w:val="0"/>
    <w:pPr>
      <w:spacing w:before="240" w:after="120" w:line="390" w:lineRule="exact"/>
      <w:outlineLvl w:val="5"/>
    </w:pPr>
    <w:rPr>
      <w:b/>
      <w:sz w:val="22"/>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qFormat/>
    <w:uiPriority w:val="0"/>
    <w:tblPr>
      <w:tblBorders>
        <w:top w:val="single" w:color="080F17" w:sz="6" w:space="0"/>
        <w:left w:val="single" w:color="080F17" w:sz="6" w:space="0"/>
        <w:bottom w:val="single" w:color="080F17" w:sz="6" w:space="0"/>
        <w:right w:val="single" w:color="080F17" w:sz="6" w:space="0"/>
        <w:insideH w:val="single" w:color="080F17" w:sz="6" w:space="0"/>
        <w:insideV w:val="single" w:color="080F17" w:sz="6" w:space="0"/>
      </w:tblBorders>
      <w:tblCellMar>
        <w:left w:w="108" w:type="dxa"/>
        <w:right w:w="108" w:type="dxa"/>
      </w:tblCellMar>
    </w:tblPr>
  </w:style>
  <w:style w:type="character" w:styleId="12">
    <w:name w:val="Hyperlink"/>
    <w:qFormat/>
    <w:uiPriority w:val="0"/>
    <w:rPr>
      <w:color w:val="0A6CFF"/>
      <w:u w:val="single" w:color="0A6CFF"/>
    </w:rPr>
  </w:style>
  <w:style w:type="paragraph" w:customStyle="1" w:styleId="13">
    <w:name w:val="MainTitle"/>
    <w:basedOn w:val="1"/>
    <w:qFormat/>
    <w:uiPriority w:val="0"/>
    <w:pPr>
      <w:pBdr>
        <w:bottom w:val="single" w:color="E2E6ED" w:sz="6" w:space="5"/>
      </w:pBdr>
      <w:spacing w:before="180" w:after="480" w:line="780" w:lineRule="exact"/>
    </w:pPr>
    <w:rPr>
      <w:b/>
      <w:sz w:val="44"/>
    </w:rPr>
  </w:style>
  <w:style w:type="character" w:customStyle="1" w:styleId="14">
    <w:name w:val="DateTime"/>
    <w:qFormat/>
    <w:uiPriority w:val="0"/>
    <w:rPr>
      <w:color w:val="0A6CFF"/>
    </w:rPr>
  </w:style>
  <w:style w:type="paragraph" w:customStyle="1" w:styleId="15">
    <w:name w:val="Blockquote"/>
    <w:basedOn w:val="1"/>
    <w:qFormat/>
    <w:uiPriority w:val="0"/>
    <w:pPr>
      <w:pBdr>
        <w:left w:val="single" w:color="E2E6ED" w:sz="36" w:space="12"/>
      </w:pBdr>
      <w:ind w:left="330" w:firstLine="0"/>
    </w:pPr>
    <w:rPr>
      <w:color w:val="767C85"/>
      <w:sz w:val="22"/>
    </w:rPr>
  </w:style>
  <w:style w:type="character" w:customStyle="1" w:styleId="16">
    <w:name w:val="Code"/>
    <w:qFormat/>
    <w:uiPriority w:val="0"/>
    <w:rPr>
      <w:bdr w:val="single" w:color="E2E6ED" w:sz="6" w:space="0"/>
    </w:rPr>
  </w:style>
  <w:style w:type="character" w:customStyle="1" w:styleId="17">
    <w:name w:val="Emoji"/>
    <w:qFormat/>
    <w:uiPriority w:val="0"/>
    <w:rPr>
      <w:rFonts w:ascii="Segoe UI Emoji" w:hAnsi="Segoe UI Emoji" w:eastAsia="Segoe UI Emoji" w:cs="Segoe UI Emoji"/>
    </w:rPr>
  </w:style>
  <w:style w:type="paragraph" w:customStyle="1" w:styleId="18">
    <w:name w:val="CodeBlock"/>
    <w:basedOn w:val="1"/>
    <w:qFormat/>
    <w:uiPriority w:val="0"/>
    <w:pPr>
      <w:numPr>
        <w:ilvl w:val="0"/>
        <w:numId w:val="1"/>
      </w:numPr>
      <w:pBdr>
        <w:top w:val="single" w:color="E2E6ED" w:sz="6" w:space="8"/>
        <w:left w:val="single" w:color="E2E6ED" w:sz="6" w:space="26"/>
        <w:bottom w:val="single" w:color="E2E6ED" w:sz="6" w:space="8"/>
        <w:right w:val="single" w:color="E2E6ED" w:sz="6" w:space="0"/>
      </w:pBdr>
      <w:shd w:val="clear" w:color="FFFFFF" w:fill="F5F7F9"/>
      <w:spacing w:before="0" w:after="0" w:line="300" w:lineRule="exact"/>
      <w:ind w:left="540" w:firstLine="0"/>
    </w:pPr>
    <w:rPr>
      <w:sz w:val="18"/>
    </w:rPr>
  </w:style>
  <w:style w:type="table" w:customStyle="1" w:styleId="19">
    <w:name w:val="HighlightBlock"/>
    <w:qFormat/>
    <w:uiPriority w:val="0"/>
    <w:tblPr>
      <w:tblBorders>
        <w:top w:val="single" w:color="FEC794" w:sz="6" w:space="0"/>
        <w:left w:val="single" w:color="FEC794" w:sz="6" w:space="0"/>
        <w:bottom w:val="single" w:color="FEC794" w:sz="6" w:space="0"/>
        <w:right w:val="single" w:color="FEC794" w:sz="6" w:space="0"/>
        <w:insideH w:val="single" w:color="FEC794" w:sz="6" w:space="0"/>
        <w:insideV w:val="single" w:color="FEC794" w:sz="6" w:space="0"/>
      </w:tblBorders>
      <w:tblCellMar>
        <w:left w:w="108" w:type="dxa"/>
        <w:right w:w="108" w:type="dxa"/>
      </w:tblCellMar>
    </w:tblPr>
  </w:style>
  <w:style w:type="paragraph" w:customStyle="1" w:styleId="20">
    <w:name w:val="Seperate"/>
    <w:basedOn w:val="1"/>
    <w:qFormat/>
    <w:uiPriority w:val="0"/>
    <w:pPr>
      <w:spacing w:before="0" w:after="0" w:line="120" w:lineRule="exac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2401</Words>
  <Characters>2433</Characters>
  <TotalTime>20</TotalTime>
  <ScaleCrop>false</ScaleCrop>
  <LinksUpToDate>false</LinksUpToDate>
  <CharactersWithSpaces>2435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2025-06-11T14:13:00Z</dcterms:created>
  <dc:creator>webotl</dc:creator>
  <cp:lastModifiedBy>方道麟</cp:lastModifiedBy>
  <dcterms:modified xsi:type="dcterms:W3CDTF">2025-07-21T07:45:18Z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webotl</vt:lpwstr>
  </property>
  <property fmtid="{D5CDD505-2E9C-101B-9397-08002B2CF9AE}" pid="3" name="KSOTemplateDocerSaveRecord">
    <vt:lpwstr>eyJoZGlkIjoiNGI5MjQwYTkzZjIyYTBkZjIwZmFjMmU1MzI5ZTNjMGIiLCJ1c2VySWQiOiI2NjM5NTcyMDUifQ==</vt:lpwstr>
  </property>
  <property fmtid="{D5CDD505-2E9C-101B-9397-08002B2CF9AE}" pid="4" name="KSOProductBuildVer">
    <vt:lpwstr>2052-12.1.0.21915</vt:lpwstr>
  </property>
  <property fmtid="{D5CDD505-2E9C-101B-9397-08002B2CF9AE}" pid="5" name="ICV">
    <vt:lpwstr>AEDF8C56BED34B4BB0FE4F11CB2A415D_13</vt:lpwstr>
  </property>
</Properties>
</file>